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20" w:lineRule="exact"/>
        <w:jc w:val="center"/>
        <w:outlineLvl w:val="0"/>
        <w:rPr>
          <w:rFonts w:eastAsia="方正小标宋简体"/>
          <w:color w:val="auto"/>
          <w:sz w:val="72"/>
          <w:szCs w:val="72"/>
        </w:rPr>
      </w:pPr>
      <w:bookmarkStart w:id="0" w:name="_Toc15306267"/>
      <w:bookmarkStart w:id="1" w:name="_GoBack"/>
      <w:bookmarkEnd w:id="1"/>
    </w:p>
    <w:p>
      <w:pPr>
        <w:spacing w:line="620" w:lineRule="exact"/>
        <w:jc w:val="center"/>
        <w:outlineLvl w:val="0"/>
        <w:rPr>
          <w:rFonts w:eastAsia="方正小标宋简体"/>
          <w:color w:val="auto"/>
          <w:sz w:val="72"/>
          <w:szCs w:val="72"/>
        </w:rPr>
      </w:pPr>
    </w:p>
    <w:p>
      <w:pPr>
        <w:spacing w:line="620" w:lineRule="exact"/>
        <w:jc w:val="center"/>
        <w:outlineLvl w:val="0"/>
        <w:rPr>
          <w:rFonts w:eastAsia="方正小标宋简体"/>
          <w:color w:val="auto"/>
          <w:sz w:val="72"/>
          <w:szCs w:val="72"/>
        </w:rPr>
      </w:pPr>
    </w:p>
    <w:p>
      <w:pPr>
        <w:spacing w:line="620" w:lineRule="exact"/>
        <w:jc w:val="center"/>
        <w:outlineLvl w:val="0"/>
        <w:rPr>
          <w:rFonts w:eastAsia="方正小标宋简体"/>
          <w:color w:val="auto"/>
          <w:sz w:val="72"/>
          <w:szCs w:val="72"/>
        </w:rPr>
      </w:pPr>
    </w:p>
    <w:p>
      <w:pPr>
        <w:adjustRightInd w:val="0"/>
        <w:snapToGrid w:val="0"/>
        <w:spacing w:line="360" w:lineRule="auto"/>
        <w:jc w:val="center"/>
        <w:outlineLvl w:val="0"/>
        <w:rPr>
          <w:rFonts w:ascii="方正小标宋简体" w:eastAsia="方正小标宋简体" w:cs="方正小标宋简体" w:hint="eastAsia"/>
          <w:w w:val="80"/>
          <w:sz w:val="72"/>
          <w:szCs w:val="72"/>
          <w:shd w:val="clear" w:color="auto" w:fill="auto"/>
        </w:rPr>
      </w:pPr>
      <w:bookmarkStart w:id="2" w:name="_Toc15396475"/>
      <w:bookmarkStart w:id="3" w:name="_Toc15378441"/>
      <w:bookmarkStart w:id="4" w:name="_Toc15396597"/>
      <w:bookmarkStart w:id="5" w:name="_Toc15377425"/>
      <w:bookmarkStart w:id="6" w:name="_Toc15377193"/>
      <w:r>
        <w:rPr>
          <w:rFonts w:ascii="方正小标宋简体" w:eastAsia="方正小标宋简体" w:cs="方正小标宋简体" w:hint="eastAsia"/>
          <w:w w:val="80"/>
          <w:sz w:val="72"/>
          <w:szCs w:val="72"/>
          <w:shd w:val="clear" w:color="auto" w:fill="auto"/>
        </w:rPr>
        <w:t>202</w:t>
      </w:r>
      <w:r>
        <w:rPr>
          <w:rFonts w:ascii="方正小标宋简体" w:eastAsia="方正小标宋简体" w:cs="方正小标宋简体" w:hint="eastAsia"/>
          <w:w w:val="80"/>
          <w:sz w:val="72"/>
          <w:szCs w:val="72"/>
          <w:shd w:val="clear" w:color="auto" w:fill="auto"/>
          <w:lang w:val="en-US" w:eastAsia="zh-CN"/>
        </w:rPr>
        <w:t>1</w:t>
      </w:r>
      <w:r>
        <w:rPr>
          <w:rFonts w:ascii="方正小标宋简体" w:eastAsia="方正小标宋简体" w:cs="方正小标宋简体" w:hint="eastAsia"/>
          <w:w w:val="80"/>
          <w:sz w:val="72"/>
          <w:szCs w:val="72"/>
          <w:shd w:val="clear" w:color="auto" w:fill="auto"/>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s="方正小标宋简体" w:hint="eastAsia"/>
          <w:w w:val="80"/>
          <w:sz w:val="72"/>
          <w:szCs w:val="72"/>
          <w:shd w:val="clear" w:color="auto" w:fill="auto"/>
        </w:rPr>
      </w:pPr>
      <w:bookmarkStart w:id="7" w:name="_Toc15378442"/>
      <w:bookmarkStart w:id="8" w:name="_Toc15377194"/>
      <w:bookmarkStart w:id="9" w:name="_Toc15377426"/>
      <w:bookmarkStart w:id="10" w:name="_Toc15396476"/>
      <w:bookmarkStart w:id="11" w:name="_Toc15396598"/>
      <w:bookmarkStart w:id="12" w:name="_Toc15306268"/>
      <w:bookmarkEnd w:id="0"/>
      <w:r>
        <w:rPr>
          <w:rFonts w:ascii="方正小标宋简体" w:eastAsia="方正小标宋简体" w:cs="方正小标宋简体" w:hint="eastAsia"/>
          <w:w w:val="80"/>
          <w:sz w:val="72"/>
          <w:szCs w:val="72"/>
          <w:shd w:val="clear" w:color="auto" w:fill="auto"/>
        </w:rPr>
        <w:t>攀枝花市金融工作局决算</w:t>
      </w:r>
      <w:bookmarkEnd w:id="7"/>
      <w:bookmarkEnd w:id="8"/>
      <w:bookmarkEnd w:id="9"/>
      <w:bookmarkEnd w:id="10"/>
      <w:bookmarkEnd w:id="11"/>
      <w:bookmarkEnd w:id="12"/>
    </w:p>
    <w:p>
      <w:pPr>
        <w:adjustRightInd w:val="0"/>
        <w:snapToGrid w:val="0"/>
        <w:spacing w:line="360" w:lineRule="auto"/>
        <w:jc w:val="center"/>
        <w:outlineLvl w:val="0"/>
        <w:rPr>
          <w:rFonts w:ascii="方正小标宋简体" w:eastAsia="方正小标宋简体" w:cs="方正小标宋简体" w:hint="eastAsia"/>
          <w:w w:val="80"/>
          <w:sz w:val="72"/>
          <w:szCs w:val="72"/>
          <w:shd w:val="clear" w:color="auto" w:fill="auto"/>
        </w:rPr>
        <w:sectPr>
          <w:headerReference w:type="default" r:id="rId2"/>
          <w:footerReference w:type="default" r:id="rId3"/>
          <w:footerReference w:type="even" r:id="rId4"/>
          <w:pgSz w:w="11906" w:h="16838"/>
          <w:pgMar w:top="1440" w:right="1800" w:bottom="1440" w:left="1800" w:header="851" w:footer="992" w:gutter="0"/>
          <w:pgNumType w:start="1"/>
          <w:cols w:num="1" w:space="720"/>
          <w:titlePg/>
          <w:docGrid w:type="lines" w:linePitch="312" w:charSpace="0"/>
        </w:sectPr>
      </w:pPr>
    </w:p>
    <w:p>
      <w:pPr>
        <w:widowControl/>
        <w:spacing w:line="620" w:lineRule="exact"/>
        <w:jc w:val="center"/>
        <w:rPr>
          <w:rFonts w:eastAsia="黑体"/>
          <w:color w:val="auto"/>
          <w:sz w:val="28"/>
          <w:szCs w:val="28"/>
        </w:rPr>
      </w:pPr>
      <w:r>
        <w:rPr>
          <w:rFonts w:eastAsia="黑体" w:hint="eastAsia"/>
          <w:color w:val="auto"/>
          <w:sz w:val="48"/>
          <w:szCs w:val="48"/>
        </w:rPr>
        <w:t>目  录</w:t>
      </w:r>
    </w:p>
    <w:p>
      <w:pPr>
        <w:pStyle w:val="21"/>
        <w:tabs>
          <w:tab w:val="right" w:leader="dot" w:pos="8296"/>
        </w:tabs>
        <w:spacing w:before="0" w:line="620" w:lineRule="exact"/>
        <w:rPr>
          <w:rFonts w:ascii="Times New Roman" w:hAnsi="Times New Roman"/>
          <w:color w:val="auto"/>
        </w:rPr>
      </w:pPr>
      <w:r>
        <w:rPr>
          <w:rFonts w:ascii="Times New Roman" w:hAnsi="Times New Roman" w:hint="eastAsia"/>
          <w:color w:val="auto"/>
        </w:rPr>
        <w:t>公开时间：2021年</w:t>
      </w:r>
      <w:r>
        <w:rPr>
          <w:rFonts w:ascii="Times New Roman" w:hAnsi="Times New Roman"/>
          <w:color w:val="auto"/>
        </w:rPr>
        <w:t>9</w:t>
      </w:r>
      <w:r>
        <w:rPr>
          <w:rFonts w:ascii="Times New Roman" w:hAnsi="Times New Roman" w:hint="eastAsia"/>
          <w:color w:val="auto"/>
        </w:rPr>
        <w:t>月</w:t>
      </w:r>
      <w:r>
        <w:rPr>
          <w:rFonts w:ascii="Times New Roman" w:hAnsi="Times New Roman" w:hint="eastAsia"/>
          <w:color w:val="auto"/>
          <w:lang w:val="en-US" w:eastAsia="zh-CN"/>
        </w:rPr>
        <w:t>1</w:t>
      </w:r>
      <w:r>
        <w:rPr>
          <w:rFonts w:ascii="Times New Roman" w:hAnsi="Times New Roman" w:hint="eastAsia"/>
          <w:color w:val="auto"/>
          <w:lang w:val="en-US" w:eastAsia="zh-CN"/>
        </w:rPr>
        <w:t>5</w:t>
      </w:r>
      <w:r>
        <w:rPr>
          <w:rFonts w:ascii="Times New Roman" w:hAnsi="Times New Roman" w:hint="eastAsia"/>
          <w:color w:val="auto"/>
        </w:rPr>
        <w:t>日</w:t>
      </w:r>
    </w:p>
    <w:p>
      <w:pPr>
        <w:widowControl/>
        <w:spacing w:line="620" w:lineRule="exact"/>
        <w:jc w:val="left"/>
        <w:rPr>
          <w:rFonts w:eastAsia="仿宋"/>
          <w:color w:val="auto"/>
          <w:kern w:val="0"/>
          <w:sz w:val="32"/>
          <w:szCs w:val="32"/>
        </w:rPr>
      </w:pPr>
    </w:p>
    <w:p>
      <w:pPr>
        <w:rPr>
          <w:color w:val="auto"/>
        </w:rPr>
      </w:pPr>
    </w:p>
    <w:p>
      <w:pPr>
        <w:pStyle w:val="21"/>
        <w:tabs>
          <w:tab w:val="right" w:leader="dot" w:pos="8296"/>
        </w:tabs>
        <w:adjustRightInd w:val="0"/>
        <w:snapToGrid w:val="0"/>
        <w:spacing w:before="0" w:line="353" w:lineRule="auto"/>
        <w:jc w:val="distribute"/>
        <w:rPr>
          <w:rFonts w:ascii="Times New Roman" w:hAnsi="Times New Roman"/>
          <w:color w:val="auto"/>
          <w:sz w:val="24"/>
          <w:szCs w:val="24"/>
        </w:rPr>
      </w:pPr>
      <w:r>
        <w:rPr>
          <w:rFonts w:hint="eastAsia"/>
          <w:b/>
          <w:bCs/>
          <w:color w:val="auto"/>
          <w:sz w:val="24"/>
        </w:rPr>
        <w:t>第一部分</w:t>
      </w:r>
      <w:r>
        <w:rPr>
          <w:b/>
          <w:bCs/>
          <w:color w:val="auto"/>
          <w:sz w:val="24"/>
        </w:rPr>
        <w:t xml:space="preserve"> </w:t>
      </w:r>
      <w:r>
        <w:rPr>
          <w:rFonts w:hint="eastAsia"/>
          <w:b/>
          <w:bCs/>
          <w:color w:val="auto"/>
          <w:sz w:val="24"/>
        </w:rPr>
        <w:t>部门概况</w:t>
      </w:r>
      <w:r>
        <w:rPr>
          <w:rFonts w:ascii="Times New Roman" w:hAnsi="Times New Roman" w:hint="eastAsia"/>
          <w:color w:val="auto"/>
          <w:sz w:val="24"/>
        </w:rPr>
        <w:t>…………………………………………………………………</w:t>
      </w:r>
      <w:r>
        <w:rPr>
          <w:rFonts w:ascii="Times New Roman" w:hAnsi="Times New Roman"/>
          <w:color w:val="auto"/>
          <w:sz w:val="24"/>
        </w:rPr>
        <w:t>1</w:t>
      </w:r>
    </w:p>
    <w:p>
      <w:pPr>
        <w:pStyle w:val="22"/>
        <w:tabs>
          <w:tab w:val="right" w:leader="dot" w:pos="8296"/>
        </w:tabs>
        <w:adjustRightInd w:val="0"/>
        <w:snapToGrid w:val="0"/>
        <w:spacing w:line="353" w:lineRule="auto"/>
        <w:jc w:val="distribute"/>
        <w:rPr>
          <w:color w:val="auto"/>
          <w:sz w:val="24"/>
        </w:rPr>
      </w:pPr>
      <w:r>
        <w:rPr>
          <w:rFonts w:hint="eastAsia"/>
          <w:color w:val="auto"/>
          <w:sz w:val="24"/>
        </w:rPr>
        <w:t>一、基本职能及主要工作………………………………………………………1</w:t>
      </w:r>
    </w:p>
    <w:p>
      <w:pPr>
        <w:pStyle w:val="22"/>
        <w:tabs>
          <w:tab w:val="right" w:leader="dot" w:pos="8296"/>
        </w:tabs>
        <w:adjustRightInd w:val="0"/>
        <w:snapToGrid w:val="0"/>
        <w:spacing w:line="353" w:lineRule="auto"/>
        <w:jc w:val="distribute"/>
        <w:rPr>
          <w:rFonts w:eastAsia="宋体" w:hint="eastAsia"/>
          <w:color w:val="auto"/>
          <w:sz w:val="24"/>
          <w:lang w:val="en-US" w:eastAsia="zh-CN"/>
        </w:rPr>
      </w:pPr>
      <w:r>
        <w:rPr>
          <w:rFonts w:hint="eastAsia"/>
          <w:color w:val="auto"/>
          <w:sz w:val="24"/>
        </w:rPr>
        <w:t>二、机构设置</w:t>
      </w:r>
      <w:r>
        <w:rPr>
          <w:rFonts w:ascii="Times New Roman" w:hAnsi="Times New Roman" w:hint="eastAsia"/>
          <w:color w:val="auto"/>
          <w:sz w:val="24"/>
        </w:rPr>
        <w:t>…………………………………………………………………</w:t>
      </w:r>
      <w:r>
        <w:rPr>
          <w:rFonts w:hint="eastAsia"/>
          <w:color w:val="auto"/>
          <w:sz w:val="24"/>
        </w:rPr>
        <w:t>…</w:t>
      </w:r>
      <w:r>
        <w:rPr>
          <w:rFonts w:hint="eastAsia"/>
          <w:color w:val="auto"/>
          <w:sz w:val="24"/>
          <w:lang w:val="en-US" w:eastAsia="zh-CN"/>
        </w:rPr>
        <w:t>4</w:t>
      </w:r>
    </w:p>
    <w:p>
      <w:pPr>
        <w:pStyle w:val="21"/>
        <w:tabs>
          <w:tab w:val="right" w:leader="dot" w:pos="8296"/>
        </w:tabs>
        <w:adjustRightInd w:val="0"/>
        <w:snapToGrid w:val="0"/>
        <w:spacing w:before="0" w:line="353" w:lineRule="auto"/>
        <w:jc w:val="distribute"/>
        <w:rPr>
          <w:rFonts w:ascii="Times New Roman" w:eastAsia="仿宋" w:hAnsi="Times New Roman" w:hint="eastAsia"/>
          <w:color w:val="auto"/>
          <w:sz w:val="24"/>
          <w:szCs w:val="24"/>
          <w:lang w:eastAsia="zh-CN"/>
        </w:rPr>
      </w:pPr>
      <w:r>
        <w:rPr>
          <w:rFonts w:hint="eastAsia"/>
          <w:b/>
          <w:bCs/>
          <w:color w:val="auto"/>
          <w:sz w:val="24"/>
        </w:rPr>
        <w:t>第二部分 202</w:t>
      </w:r>
      <w:r>
        <w:rPr>
          <w:rFonts w:hint="eastAsia"/>
          <w:b/>
          <w:bCs/>
          <w:color w:val="auto"/>
          <w:sz w:val="24"/>
          <w:lang w:val="en-US" w:eastAsia="zh-CN"/>
        </w:rPr>
        <w:t>1</w:t>
      </w:r>
      <w:r>
        <w:rPr>
          <w:rFonts w:hint="eastAsia"/>
          <w:b/>
          <w:bCs/>
          <w:color w:val="auto"/>
          <w:sz w:val="24"/>
        </w:rPr>
        <w:t>年度部门决算情况说明</w:t>
      </w:r>
      <w:r>
        <w:rPr>
          <w:rFonts w:ascii="Times New Roman" w:hAnsi="Times New Roman" w:hint="eastAsia"/>
          <w:sz w:val="24"/>
        </w:rPr>
        <w:t>……………………………………………</w:t>
      </w:r>
      <w:r>
        <w:rPr>
          <w:rFonts w:ascii="Times New Roman" w:hAnsi="Times New Roman" w:hint="eastAsia"/>
          <w:color w:val="auto"/>
          <w:sz w:val="24"/>
          <w:lang w:val="en-US" w:eastAsia="zh-CN"/>
        </w:rPr>
        <w:t>5</w:t>
      </w:r>
    </w:p>
    <w:p>
      <w:pPr>
        <w:pStyle w:val="22"/>
        <w:tabs>
          <w:tab w:val="right" w:leader="dot" w:pos="8296"/>
        </w:tabs>
        <w:adjustRightInd w:val="0"/>
        <w:snapToGrid w:val="0"/>
        <w:spacing w:line="353" w:lineRule="auto"/>
        <w:jc w:val="distribute"/>
        <w:rPr>
          <w:rFonts w:eastAsia="宋体" w:hint="eastAsia"/>
          <w:color w:val="auto"/>
          <w:sz w:val="24"/>
          <w:lang w:eastAsia="zh-CN"/>
        </w:rPr>
      </w:pPr>
      <w:r>
        <w:rPr>
          <w:rFonts w:hint="eastAsia"/>
          <w:color w:val="auto"/>
          <w:sz w:val="24"/>
        </w:rPr>
        <w:t>一、收入支出决算总体情况说明………………………………………………</w:t>
      </w:r>
      <w:r>
        <w:rPr>
          <w:rFonts w:hint="eastAsia"/>
          <w:color w:val="auto"/>
          <w:sz w:val="24"/>
          <w:lang w:val="en-US" w:eastAsia="zh-CN"/>
        </w:rPr>
        <w:t>5</w:t>
      </w:r>
    </w:p>
    <w:p>
      <w:pPr>
        <w:pStyle w:val="22"/>
        <w:tabs>
          <w:tab w:val="right" w:leader="dot" w:pos="8296"/>
        </w:tabs>
        <w:adjustRightInd w:val="0"/>
        <w:snapToGrid w:val="0"/>
        <w:spacing w:line="353" w:lineRule="auto"/>
        <w:jc w:val="distribute"/>
        <w:rPr>
          <w:rFonts w:eastAsia="宋体" w:hint="eastAsia"/>
          <w:color w:val="auto"/>
          <w:sz w:val="24"/>
          <w:lang w:eastAsia="zh-CN"/>
        </w:rPr>
      </w:pPr>
      <w:r>
        <w:rPr>
          <w:rFonts w:hint="eastAsia"/>
          <w:color w:val="auto"/>
          <w:sz w:val="24"/>
        </w:rPr>
        <w:t>二、收入决算情况说明…………………………………………………………</w:t>
      </w:r>
      <w:r>
        <w:rPr>
          <w:rFonts w:hint="eastAsia"/>
          <w:color w:val="auto"/>
          <w:sz w:val="24"/>
          <w:lang w:val="en-US" w:eastAsia="zh-CN"/>
        </w:rPr>
        <w:t>5</w:t>
      </w:r>
    </w:p>
    <w:p>
      <w:pPr>
        <w:pStyle w:val="22"/>
        <w:tabs>
          <w:tab w:val="right" w:leader="dot" w:pos="8296"/>
        </w:tabs>
        <w:adjustRightInd w:val="0"/>
        <w:snapToGrid w:val="0"/>
        <w:spacing w:line="353" w:lineRule="auto"/>
        <w:jc w:val="distribute"/>
        <w:rPr>
          <w:rFonts w:eastAsia="宋体" w:hint="eastAsia"/>
          <w:color w:val="auto"/>
          <w:sz w:val="24"/>
          <w:lang w:eastAsia="zh-CN"/>
        </w:rPr>
      </w:pPr>
      <w:r>
        <w:rPr>
          <w:rFonts w:hint="eastAsia"/>
          <w:color w:val="auto"/>
          <w:sz w:val="24"/>
        </w:rPr>
        <w:t>三、支出决算情况说明…………………………………………………………</w:t>
      </w:r>
      <w:r>
        <w:rPr>
          <w:rFonts w:hint="eastAsia"/>
          <w:color w:val="auto"/>
          <w:sz w:val="24"/>
          <w:lang w:val="en-US" w:eastAsia="zh-CN"/>
        </w:rPr>
        <w:t>6</w:t>
      </w:r>
    </w:p>
    <w:p>
      <w:pPr>
        <w:pStyle w:val="22"/>
        <w:tabs>
          <w:tab w:val="right" w:leader="dot" w:pos="8296"/>
        </w:tabs>
        <w:adjustRightInd w:val="0"/>
        <w:snapToGrid w:val="0"/>
        <w:spacing w:line="353" w:lineRule="auto"/>
        <w:jc w:val="distribute"/>
        <w:rPr>
          <w:rFonts w:eastAsia="宋体" w:hint="eastAsia"/>
          <w:color w:val="auto"/>
          <w:sz w:val="24"/>
          <w:lang w:eastAsia="zh-CN"/>
        </w:rPr>
      </w:pPr>
      <w:r>
        <w:rPr>
          <w:rFonts w:hint="eastAsia"/>
          <w:color w:val="auto"/>
          <w:sz w:val="24"/>
        </w:rPr>
        <w:t>四、财政拨款收入支出决算总体情况说明……………………………………</w:t>
      </w:r>
      <w:r>
        <w:rPr>
          <w:rFonts w:hint="eastAsia"/>
          <w:color w:val="auto"/>
          <w:sz w:val="24"/>
          <w:lang w:val="en-US" w:eastAsia="zh-CN"/>
        </w:rPr>
        <w:t>7</w:t>
      </w:r>
      <w:r>
        <w:rPr>
          <w:rFonts w:hint="eastAsia"/>
          <w:sz w:val="24"/>
        </w:rPr>
        <w:t>五、一般公共预算财政拨款支出决算情况说明</w:t>
      </w:r>
      <w:r>
        <w:rPr>
          <w:rFonts w:hint="eastAsia"/>
          <w:color w:val="auto"/>
          <w:sz w:val="24"/>
        </w:rPr>
        <w:t>………………………………</w:t>
      </w:r>
      <w:r>
        <w:rPr>
          <w:rFonts w:hint="eastAsia"/>
          <w:color w:val="auto"/>
          <w:sz w:val="24"/>
          <w:lang w:val="en-US" w:eastAsia="zh-CN"/>
        </w:rPr>
        <w:t>8</w:t>
      </w:r>
    </w:p>
    <w:p>
      <w:pPr>
        <w:pStyle w:val="22"/>
        <w:tabs>
          <w:tab w:val="right" w:leader="dot" w:pos="8296"/>
        </w:tabs>
        <w:adjustRightInd w:val="0"/>
        <w:snapToGrid w:val="0"/>
        <w:spacing w:line="353" w:lineRule="auto"/>
        <w:jc w:val="distribute"/>
        <w:rPr>
          <w:rFonts w:eastAsia="宋体"/>
          <w:color w:val="auto"/>
          <w:sz w:val="24"/>
          <w:lang w:val="en-US" w:eastAsia="zh-CN"/>
        </w:rPr>
      </w:pPr>
      <w:r>
        <w:rPr>
          <w:rFonts w:hint="eastAsia"/>
          <w:sz w:val="24"/>
        </w:rPr>
        <w:t>六、一般公共预算财政拨款基本支出决算情况说明</w:t>
      </w:r>
      <w:r>
        <w:rPr>
          <w:rFonts w:hint="eastAsia"/>
          <w:color w:val="auto"/>
          <w:sz w:val="24"/>
        </w:rPr>
        <w:t>…………………………</w:t>
      </w:r>
      <w:r>
        <w:rPr>
          <w:rFonts w:hint="eastAsia"/>
          <w:color w:val="auto"/>
          <w:sz w:val="24"/>
          <w:lang w:val="en-US" w:eastAsia="zh-CN"/>
        </w:rPr>
        <w:t>10</w:t>
      </w:r>
    </w:p>
    <w:p>
      <w:pPr>
        <w:pStyle w:val="22"/>
        <w:tabs>
          <w:tab w:val="right" w:leader="dot" w:pos="8296"/>
        </w:tabs>
        <w:adjustRightInd w:val="0"/>
        <w:snapToGrid w:val="0"/>
        <w:spacing w:line="353" w:lineRule="auto"/>
        <w:jc w:val="distribute"/>
        <w:rPr>
          <w:rFonts w:eastAsia="宋体"/>
          <w:color w:val="auto"/>
          <w:sz w:val="24"/>
          <w:lang w:val="en-US" w:eastAsia="zh-CN"/>
        </w:rPr>
      </w:pPr>
      <w:r>
        <w:rPr>
          <w:rFonts w:hint="eastAsia"/>
          <w:sz w:val="24"/>
        </w:rPr>
        <w:t>七、“三公”经费财政拨款支出决算情况说明</w:t>
      </w:r>
      <w:r>
        <w:rPr>
          <w:rFonts w:hint="eastAsia"/>
          <w:color w:val="auto"/>
          <w:sz w:val="24"/>
        </w:rPr>
        <w:t>………………………………</w:t>
      </w:r>
      <w:r>
        <w:rPr>
          <w:rFonts w:hint="eastAsia"/>
          <w:color w:val="auto"/>
          <w:sz w:val="24"/>
          <w:lang w:val="en-US" w:eastAsia="zh-CN"/>
        </w:rPr>
        <w:t>11</w:t>
      </w:r>
    </w:p>
    <w:p>
      <w:pPr>
        <w:pStyle w:val="22"/>
        <w:tabs>
          <w:tab w:val="right" w:leader="dot" w:pos="8296"/>
        </w:tabs>
        <w:adjustRightInd w:val="0"/>
        <w:snapToGrid w:val="0"/>
        <w:spacing w:line="353" w:lineRule="auto"/>
        <w:jc w:val="distribute"/>
        <w:rPr>
          <w:sz w:val="24"/>
        </w:rPr>
      </w:pPr>
      <w:r>
        <w:rPr>
          <w:rFonts w:hint="eastAsia"/>
          <w:sz w:val="24"/>
        </w:rPr>
        <w:t>八、政府性基金预算支出决算情况说明</w:t>
      </w:r>
      <w:r>
        <w:rPr>
          <w:rFonts w:hint="eastAsia"/>
          <w:color w:val="auto"/>
          <w:sz w:val="24"/>
        </w:rPr>
        <w:t>………………………………………</w:t>
      </w:r>
      <w:r>
        <w:rPr>
          <w:rFonts w:hint="eastAsia"/>
          <w:color w:val="auto"/>
          <w:sz w:val="24"/>
          <w:lang w:val="en-US" w:eastAsia="zh-CN"/>
        </w:rPr>
        <w:t>11</w:t>
      </w:r>
      <w:r>
        <w:rPr>
          <w:rFonts w:ascii="宋体" w:eastAsia="宋体" w:cs="宋体" w:hint="eastAsia"/>
          <w:sz w:val="24"/>
        </w:rPr>
        <w:t>九、国有资本经营预算支出决算情况说明</w:t>
      </w:r>
      <w:r>
        <w:rPr>
          <w:rFonts w:hint="eastAsia"/>
          <w:color w:val="auto"/>
          <w:sz w:val="24"/>
        </w:rPr>
        <w:t>……………………………………1</w:t>
      </w:r>
      <w:r>
        <w:rPr>
          <w:rFonts w:hint="eastAsia"/>
          <w:color w:val="auto"/>
          <w:sz w:val="24"/>
          <w:lang w:val="en-US" w:eastAsia="zh-CN"/>
        </w:rPr>
        <w:t>1</w:t>
      </w:r>
      <w:r>
        <w:rPr>
          <w:rFonts w:hint="eastAsia"/>
          <w:color w:val="auto"/>
          <w:sz w:val="24"/>
        </w:rPr>
        <w:t>十、其他重要事项的情况说明………………………………………………</w:t>
      </w:r>
      <w:r>
        <w:rPr>
          <w:rFonts w:hint="eastAsia"/>
          <w:color w:val="auto"/>
          <w:sz w:val="24"/>
          <w:lang w:eastAsia="zh-CN"/>
        </w:rPr>
        <w:t>…</w:t>
      </w:r>
      <w:r>
        <w:rPr>
          <w:color w:val="auto"/>
          <w:sz w:val="24"/>
        </w:rPr>
        <w:t>11</w:t>
      </w:r>
    </w:p>
    <w:p>
      <w:pPr>
        <w:pStyle w:val="21"/>
        <w:tabs>
          <w:tab w:val="right" w:leader="dot" w:pos="8296"/>
        </w:tabs>
        <w:adjustRightInd w:val="0"/>
        <w:snapToGrid w:val="0"/>
        <w:spacing w:before="0" w:line="353" w:lineRule="auto"/>
        <w:jc w:val="distribute"/>
        <w:rPr>
          <w:rFonts w:ascii="Times New Roman" w:eastAsia="仿宋" w:hAnsi="Times New Roman"/>
          <w:color w:val="auto"/>
          <w:sz w:val="24"/>
          <w:szCs w:val="24"/>
          <w:lang w:val="en-US" w:eastAsia="zh-CN"/>
        </w:rPr>
      </w:pPr>
      <w:r>
        <w:rPr>
          <w:rFonts w:hint="eastAsia"/>
          <w:b/>
          <w:bCs/>
          <w:color w:val="auto"/>
          <w:sz w:val="24"/>
        </w:rPr>
        <w:t>第三部分</w:t>
      </w:r>
      <w:r>
        <w:rPr>
          <w:b/>
          <w:bCs/>
          <w:color w:val="auto"/>
          <w:sz w:val="24"/>
        </w:rPr>
        <w:t xml:space="preserve"> </w:t>
      </w:r>
      <w:r>
        <w:rPr>
          <w:rFonts w:hint="eastAsia"/>
          <w:b/>
          <w:bCs/>
          <w:color w:val="auto"/>
          <w:sz w:val="24"/>
        </w:rPr>
        <w:t>名词解释</w:t>
      </w:r>
      <w:r>
        <w:rPr>
          <w:rFonts w:ascii="Times New Roman" w:hAnsi="Times New Roman" w:hint="eastAsia"/>
          <w:sz w:val="24"/>
        </w:rPr>
        <w:t>…………</w:t>
      </w:r>
      <w:r>
        <w:rPr>
          <w:rFonts w:ascii="Times New Roman" w:hAnsi="Times New Roman" w:hint="eastAsia"/>
          <w:color w:val="auto"/>
          <w:sz w:val="24"/>
        </w:rPr>
        <w:t>……………………………………</w:t>
      </w:r>
      <w:r>
        <w:rPr>
          <w:rFonts w:ascii="Times New Roman" w:hAnsi="Times New Roman" w:hint="eastAsia"/>
          <w:sz w:val="24"/>
        </w:rPr>
        <w:t>………………</w:t>
      </w:r>
      <w:r>
        <w:rPr>
          <w:rFonts w:hint="eastAsia"/>
          <w:color w:val="auto"/>
          <w:sz w:val="24"/>
          <w:lang w:eastAsia="zh-CN"/>
        </w:rPr>
        <w:t>…</w:t>
      </w:r>
      <w:r>
        <w:rPr>
          <w:rFonts w:ascii="Times New Roman" w:hAnsi="Times New Roman" w:hint="eastAsia"/>
          <w:color w:val="auto"/>
          <w:sz w:val="24"/>
          <w:lang w:val="en-US" w:eastAsia="zh-CN"/>
        </w:rPr>
        <w:t>2</w:t>
      </w:r>
      <w:r>
        <w:rPr>
          <w:rFonts w:ascii="Times New Roman" w:hAnsi="Times New Roman" w:hint="eastAsia"/>
          <w:color w:val="auto"/>
          <w:sz w:val="24"/>
          <w:lang w:val="en-US" w:eastAsia="zh-CN"/>
        </w:rPr>
        <w:t>6</w:t>
      </w:r>
    </w:p>
    <w:p>
      <w:pPr>
        <w:pStyle w:val="21"/>
        <w:tabs>
          <w:tab w:val="right" w:leader="dot" w:pos="8296"/>
        </w:tabs>
        <w:adjustRightInd w:val="0"/>
        <w:snapToGrid w:val="0"/>
        <w:spacing w:before="0" w:line="353" w:lineRule="auto"/>
        <w:jc w:val="distribute"/>
        <w:rPr>
          <w:rFonts w:ascii="Times New Roman" w:eastAsia="仿宋" w:hAnsi="Times New Roman"/>
          <w:color w:val="auto"/>
          <w:sz w:val="24"/>
          <w:lang w:val="en-US" w:eastAsia="zh-CN"/>
        </w:rPr>
      </w:pPr>
      <w:r>
        <w:rPr>
          <w:rFonts w:hint="eastAsia"/>
          <w:b/>
          <w:bCs/>
          <w:color w:val="auto"/>
          <w:sz w:val="24"/>
        </w:rPr>
        <w:t>第四部分</w:t>
      </w:r>
      <w:r>
        <w:rPr>
          <w:b/>
          <w:bCs/>
          <w:color w:val="auto"/>
          <w:sz w:val="24"/>
        </w:rPr>
        <w:t xml:space="preserve"> </w:t>
      </w:r>
      <w:r>
        <w:rPr>
          <w:rFonts w:hint="eastAsia"/>
          <w:b/>
          <w:bCs/>
          <w:color w:val="auto"/>
          <w:sz w:val="24"/>
        </w:rPr>
        <w:t>附件</w:t>
      </w:r>
      <w:r>
        <w:rPr>
          <w:rFonts w:ascii="Times New Roman" w:hAnsi="Times New Roman" w:hint="eastAsia"/>
          <w:sz w:val="24"/>
        </w:rPr>
        <w:t>…………………………………………</w:t>
      </w:r>
      <w:r>
        <w:rPr>
          <w:rFonts w:ascii="Times New Roman" w:hAnsi="Times New Roman" w:hint="eastAsia"/>
          <w:color w:val="auto"/>
          <w:sz w:val="24"/>
        </w:rPr>
        <w:t>…………</w:t>
      </w:r>
      <w:r>
        <w:rPr>
          <w:rFonts w:ascii="Times New Roman" w:hAnsi="Times New Roman" w:hint="eastAsia"/>
          <w:sz w:val="24"/>
        </w:rPr>
        <w:t>…………………</w:t>
      </w:r>
      <w:r>
        <w:rPr>
          <w:rFonts w:ascii="Times New Roman" w:hAnsi="Times New Roman" w:hint="eastAsia"/>
          <w:color w:val="auto"/>
          <w:sz w:val="24"/>
          <w:lang w:val="en-US" w:eastAsia="zh-CN"/>
        </w:rPr>
        <w:t>30</w:t>
      </w:r>
    </w:p>
    <w:p>
      <w:pPr>
        <w:pStyle w:val="22"/>
        <w:tabs>
          <w:tab w:val="right" w:leader="dot" w:pos="8296"/>
        </w:tabs>
        <w:adjustRightInd w:val="0"/>
        <w:snapToGrid w:val="0"/>
        <w:spacing w:line="353" w:lineRule="auto"/>
        <w:ind w:leftChars="0" w:left="0" w:firstLineChars="200" w:firstLine="480"/>
        <w:jc w:val="distribute"/>
        <w:rPr>
          <w:rFonts w:eastAsia="宋体"/>
          <w:color w:val="auto"/>
          <w:sz w:val="24"/>
          <w:lang w:val="en-US" w:eastAsia="zh-CN"/>
        </w:rPr>
      </w:pPr>
      <w:r>
        <w:rPr>
          <w:rFonts w:hint="eastAsia"/>
          <w:color w:val="auto"/>
          <w:sz w:val="24"/>
        </w:rPr>
        <w:t>附件</w:t>
      </w:r>
      <w:r>
        <w:rPr>
          <w:color w:val="auto"/>
          <w:sz w:val="24"/>
        </w:rPr>
        <w:t>1</w:t>
      </w:r>
      <w:r>
        <w:rPr>
          <w:rFonts w:hint="eastAsia"/>
          <w:sz w:val="24"/>
        </w:rPr>
        <w:t>…………………………………………………</w:t>
      </w:r>
      <w:r>
        <w:rPr>
          <w:rFonts w:ascii="Times New Roman" w:hAnsi="Times New Roman" w:hint="eastAsia"/>
          <w:color w:val="auto"/>
          <w:sz w:val="24"/>
        </w:rPr>
        <w:t>………</w:t>
      </w:r>
      <w:r>
        <w:rPr>
          <w:rFonts w:hint="eastAsia"/>
          <w:sz w:val="24"/>
        </w:rPr>
        <w:t>………………</w:t>
      </w:r>
      <w:r>
        <w:rPr>
          <w:rFonts w:hint="eastAsia"/>
          <w:sz w:val="24"/>
          <w:lang w:val="en-US" w:eastAsia="zh-CN"/>
        </w:rPr>
        <w:t>.</w:t>
      </w:r>
      <w:r>
        <w:rPr>
          <w:rFonts w:hint="eastAsia"/>
          <w:color w:val="auto"/>
          <w:sz w:val="24"/>
          <w:lang w:val="en-US" w:eastAsia="zh-CN"/>
        </w:rPr>
        <w:t>30</w:t>
      </w:r>
    </w:p>
    <w:p>
      <w:pPr>
        <w:pStyle w:val="22"/>
        <w:tabs>
          <w:tab w:val="right" w:leader="dot" w:pos="8296"/>
        </w:tabs>
        <w:adjustRightInd w:val="0"/>
        <w:snapToGrid w:val="0"/>
        <w:spacing w:line="353" w:lineRule="auto"/>
        <w:jc w:val="distribute"/>
        <w:rPr>
          <w:rFonts w:eastAsia="宋体"/>
          <w:color w:val="auto"/>
          <w:sz w:val="24"/>
          <w:lang w:val="en-US" w:eastAsia="zh-CN"/>
        </w:rPr>
      </w:pPr>
      <w:r>
        <w:rPr>
          <w:rFonts w:hint="eastAsia"/>
          <w:color w:val="auto"/>
          <w:sz w:val="24"/>
        </w:rPr>
        <w:t>附件</w:t>
      </w:r>
      <w:r>
        <w:rPr>
          <w:color w:val="auto"/>
          <w:sz w:val="24"/>
        </w:rPr>
        <w:t>2</w:t>
      </w:r>
      <w:r>
        <w:rPr>
          <w:rFonts w:hint="eastAsia"/>
          <w:sz w:val="24"/>
        </w:rPr>
        <w:t>…………………………………………………</w:t>
      </w:r>
      <w:r>
        <w:rPr>
          <w:rFonts w:ascii="Times New Roman" w:hAnsi="Times New Roman" w:hint="eastAsia"/>
          <w:color w:val="auto"/>
          <w:sz w:val="24"/>
        </w:rPr>
        <w:t>…</w:t>
      </w:r>
      <w:r>
        <w:rPr>
          <w:rFonts w:hint="eastAsia"/>
          <w:sz w:val="24"/>
        </w:rPr>
        <w:t>……………………</w:t>
      </w:r>
      <w:r>
        <w:rPr>
          <w:rFonts w:hint="eastAsia"/>
          <w:color w:val="auto"/>
          <w:sz w:val="24"/>
          <w:lang w:val="en-US" w:eastAsia="zh-CN"/>
        </w:rPr>
        <w:t>40</w:t>
      </w:r>
    </w:p>
    <w:p>
      <w:pPr>
        <w:pStyle w:val="21"/>
        <w:tabs>
          <w:tab w:val="right" w:leader="dot" w:pos="8296"/>
        </w:tabs>
        <w:adjustRightInd w:val="0"/>
        <w:snapToGrid w:val="0"/>
        <w:spacing w:before="0" w:line="353" w:lineRule="auto"/>
        <w:jc w:val="distribute"/>
        <w:rPr>
          <w:rFonts w:ascii="Times New Roman" w:eastAsia="宋体" w:hAnsi="Times New Roman"/>
          <w:color w:val="auto"/>
          <w:sz w:val="24"/>
          <w:szCs w:val="24"/>
          <w:lang w:val="en-US" w:eastAsia="zh-CN"/>
        </w:rPr>
      </w:pPr>
      <w:r>
        <w:rPr>
          <w:rFonts w:hint="eastAsia"/>
          <w:b/>
          <w:bCs/>
          <w:color w:val="auto"/>
          <w:sz w:val="24"/>
        </w:rPr>
        <w:t>第五部分</w:t>
      </w:r>
      <w:r>
        <w:rPr>
          <w:b/>
          <w:bCs/>
          <w:color w:val="auto"/>
          <w:sz w:val="24"/>
        </w:rPr>
        <w:t xml:space="preserve"> </w:t>
      </w:r>
      <w:r>
        <w:rPr>
          <w:rFonts w:hint="eastAsia"/>
          <w:b/>
          <w:bCs/>
          <w:color w:val="auto"/>
          <w:sz w:val="24"/>
        </w:rPr>
        <w:t>附表</w:t>
      </w:r>
      <w:r>
        <w:rPr>
          <w:rFonts w:ascii="Times New Roman" w:hAnsi="Times New Roman" w:hint="eastAsia"/>
          <w:sz w:val="24"/>
        </w:rPr>
        <w:t>…………………………………</w:t>
      </w:r>
      <w:r>
        <w:rPr>
          <w:rFonts w:hint="eastAsia"/>
          <w:sz w:val="24"/>
        </w:rPr>
        <w:t>…………</w:t>
      </w:r>
      <w:r>
        <w:rPr>
          <w:rFonts w:ascii="Times New Roman" w:hAnsi="Times New Roman" w:hint="eastAsia"/>
          <w:color w:val="auto"/>
          <w:sz w:val="24"/>
        </w:rPr>
        <w:t>…</w:t>
      </w:r>
      <w:r>
        <w:rPr>
          <w:rFonts w:ascii="Times New Roman" w:hAnsi="Times New Roman" w:hint="eastAsia"/>
          <w:sz w:val="24"/>
        </w:rPr>
        <w:t>………………………</w:t>
      </w:r>
      <w:r>
        <w:rPr>
          <w:rFonts w:ascii="Times New Roman" w:eastAsia="宋体" w:hAnsi="Times New Roman" w:hint="eastAsia"/>
          <w:color w:val="auto"/>
          <w:sz w:val="24"/>
          <w:szCs w:val="24"/>
          <w:lang w:val="en-US" w:eastAsia="zh-CN"/>
        </w:rPr>
        <w:t>58</w:t>
      </w:r>
    </w:p>
    <w:p>
      <w:pPr>
        <w:pStyle w:val="22"/>
        <w:tabs>
          <w:tab w:val="right" w:leader="dot" w:pos="8296"/>
        </w:tabs>
        <w:adjustRightInd w:val="0"/>
        <w:snapToGrid w:val="0"/>
        <w:spacing w:line="353" w:lineRule="auto"/>
        <w:jc w:val="both"/>
        <w:rPr>
          <w:color w:val="auto"/>
          <w:sz w:val="24"/>
        </w:rPr>
      </w:pPr>
    </w:p>
    <w:p>
      <w:pPr>
        <w:widowControl/>
        <w:spacing w:line="353" w:lineRule="auto"/>
        <w:jc w:val="both"/>
        <w:rPr>
          <w:rFonts w:eastAsia="仿宋"/>
          <w:b/>
          <w:color w:val="auto"/>
          <w:sz w:val="24"/>
        </w:rPr>
        <w:sectPr>
          <w:footerReference w:type="default" r:id="rId5"/>
          <w:pgSz w:w="11906" w:h="16838"/>
          <w:pgMar w:top="1440" w:right="1800" w:bottom="1440" w:left="1800" w:header="851" w:footer="992" w:gutter="0"/>
          <w:pgNumType w:start="1"/>
          <w:cols w:num="1" w:space="720"/>
          <w:docGrid w:type="lines" w:linePitch="312" w:charSpace="0"/>
        </w:sectPr>
      </w:pPr>
      <w:bookmarkStart w:id="13" w:name="_Toc15396599"/>
      <w:bookmarkStart w:id="14" w:name="_Toc15377196"/>
    </w:p>
    <w:p>
      <w:pPr>
        <w:widowControl/>
        <w:adjustRightInd w:val="0"/>
        <w:snapToGrid w:val="0"/>
        <w:spacing w:line="353" w:lineRule="auto"/>
        <w:jc w:val="center"/>
        <w:rPr>
          <w:rStyle w:val="1Char"/>
          <w:rFonts w:eastAsia="黑体"/>
          <w:color w:val="auto"/>
        </w:rPr>
      </w:pPr>
      <w:r>
        <w:rPr>
          <w:rStyle w:val="1Char"/>
          <w:rFonts w:ascii="黑体" w:eastAsia="黑体" w:hint="eastAsia"/>
          <w:b w:val="0"/>
          <w:bCs w:val="0"/>
          <w:color w:val="auto"/>
        </w:rPr>
        <w:t>第一部分</w:t>
      </w:r>
      <w:r>
        <w:rPr>
          <w:rStyle w:val="1Char"/>
          <w:rFonts w:hint="eastAsia"/>
          <w:color w:val="auto"/>
        </w:rPr>
        <w:t xml:space="preserve">  </w:t>
      </w:r>
      <w:r>
        <w:rPr>
          <w:rStyle w:val="1Char"/>
          <w:rFonts w:eastAsia="黑体" w:hint="eastAsia"/>
          <w:color w:val="auto"/>
        </w:rPr>
        <w:t>部门概况</w:t>
      </w:r>
      <w:bookmarkEnd w:id="13"/>
      <w:bookmarkEnd w:id="14"/>
    </w:p>
    <w:p>
      <w:pPr>
        <w:pStyle w:val="2"/>
        <w:adjustRightInd w:val="0"/>
        <w:snapToGrid w:val="0"/>
        <w:spacing w:before="0" w:after="0" w:line="353" w:lineRule="auto"/>
        <w:rPr>
          <w:rFonts w:ascii="Times New Roman" w:eastAsia="黑体" w:hAnsi="Times New Roman"/>
          <w:b w:val="0"/>
          <w:color w:val="auto"/>
        </w:rPr>
      </w:pPr>
      <w:bookmarkStart w:id="15" w:name="_Toc15396600"/>
      <w:bookmarkStart w:id="16" w:name="_Toc15377197"/>
    </w:p>
    <w:p>
      <w:pPr>
        <w:pStyle w:val="2"/>
        <w:adjustRightInd w:val="0"/>
        <w:snapToGrid w:val="0"/>
        <w:spacing w:before="0" w:after="0" w:line="353" w:lineRule="auto"/>
        <w:ind w:firstLineChars="200" w:firstLine="640"/>
        <w:rPr>
          <w:rStyle w:val="2Char"/>
          <w:rFonts w:ascii="Times New Roman" w:eastAsia="仿宋" w:hAnsi="Times New Roman"/>
          <w:b w:val="0"/>
          <w:bCs w:val="0"/>
          <w:color w:val="auto"/>
        </w:rPr>
      </w:pPr>
      <w:r>
        <w:rPr>
          <w:rFonts w:ascii="Times New Roman" w:eastAsia="黑体" w:hAnsi="Times New Roman" w:hint="eastAsia"/>
          <w:b w:val="0"/>
          <w:bCs w:val="0"/>
          <w:color w:val="auto"/>
        </w:rPr>
        <w:t>一、基</w:t>
      </w:r>
      <w:r>
        <w:rPr>
          <w:rStyle w:val="2Char"/>
          <w:rFonts w:ascii="Times New Roman" w:eastAsia="黑体" w:hAnsi="Times New Roman" w:hint="eastAsia"/>
          <w:b w:val="0"/>
          <w:bCs w:val="0"/>
          <w:color w:val="auto"/>
        </w:rPr>
        <w:t>本职能及主要工作</w:t>
      </w:r>
      <w:bookmarkEnd w:id="15"/>
      <w:bookmarkEnd w:id="16"/>
    </w:p>
    <w:p>
      <w:pPr>
        <w:pStyle w:val="15"/>
        <w:adjustRightInd w:val="0"/>
        <w:snapToGrid w:val="0"/>
        <w:spacing w:beforeLines="0" w:before="0" w:line="353" w:lineRule="auto"/>
        <w:ind w:firstLineChars="208" w:firstLine="666"/>
        <w:outlineLvl w:val="2"/>
        <w:rPr>
          <w:rFonts w:ascii="楷体" w:eastAsia="楷体" w:cs="楷体"/>
          <w:bCs/>
          <w:color w:val="auto"/>
          <w:sz w:val="32"/>
          <w:szCs w:val="32"/>
        </w:rPr>
      </w:pPr>
      <w:bookmarkStart w:id="17" w:name="_Toc15378445"/>
      <w:bookmarkStart w:id="18" w:name="_Toc15377198"/>
      <w:r>
        <w:rPr>
          <w:rFonts w:ascii="楷体" w:eastAsia="楷体" w:cs="楷体" w:hint="eastAsia"/>
          <w:bCs/>
          <w:color w:val="auto"/>
          <w:sz w:val="32"/>
          <w:szCs w:val="32"/>
        </w:rPr>
        <w:t>（一）主要职能</w:t>
      </w:r>
    </w:p>
    <w:p>
      <w:pPr>
        <w:adjustRightInd w:val="0"/>
        <w:snapToGrid w:val="0"/>
        <w:spacing w:line="353" w:lineRule="auto"/>
        <w:ind w:firstLineChars="200" w:firstLine="640"/>
        <w:rPr>
          <w:rFonts w:eastAsia="仿宋_GB2312"/>
          <w:sz w:val="32"/>
          <w:szCs w:val="32"/>
        </w:rPr>
      </w:pPr>
      <w:r>
        <w:rPr>
          <w:rFonts w:eastAsia="仿宋_GB2312" w:hint="eastAsia"/>
          <w:sz w:val="32"/>
          <w:szCs w:val="32"/>
        </w:rPr>
        <w:t>三大职能：服务实体经济、防范金融风险、深化金融改革。负责协调全市银行、保险、证券机构；负责监管地方金融，包括融资担保、小贷、典当、商业保理、交易场所等；牵头负责打击和处置非法集资、防范化解互联网金融风险和P2P网贷风险；</w:t>
      </w:r>
      <w:r>
        <w:rPr>
          <w:rFonts w:eastAsia="仿宋_GB2312" w:hint="eastAsia"/>
          <w:sz w:val="32"/>
          <w:szCs w:val="32"/>
          <w:lang w:val="en-US" w:eastAsia="zh-CN"/>
        </w:rPr>
        <w:t>协调</w:t>
      </w:r>
      <w:r>
        <w:rPr>
          <w:rFonts w:eastAsia="仿宋_GB2312" w:hint="eastAsia"/>
          <w:sz w:val="32"/>
          <w:szCs w:val="32"/>
        </w:rPr>
        <w:t>解决企业融资难融资贵问题，探索多层次资本市场融资，引导企业大力发展直接融资，包括企业上市和发债；制定全市金融发展规划。</w:t>
      </w:r>
    </w:p>
    <w:p>
      <w:pPr>
        <w:pStyle w:val="15"/>
        <w:adjustRightInd w:val="0"/>
        <w:snapToGrid w:val="0"/>
        <w:spacing w:beforeLines="0" w:before="0" w:line="353" w:lineRule="auto"/>
        <w:ind w:firstLineChars="208" w:firstLine="666"/>
        <w:outlineLvl w:val="2"/>
        <w:rPr>
          <w:rFonts w:ascii="楷体" w:eastAsia="楷体" w:cs="楷体"/>
          <w:bCs/>
          <w:color w:val="auto"/>
          <w:sz w:val="32"/>
          <w:szCs w:val="32"/>
        </w:rPr>
      </w:pPr>
      <w:bookmarkStart w:id="19" w:name="_Toc15378446"/>
      <w:bookmarkStart w:id="20" w:name="_Toc15377199"/>
      <w:bookmarkEnd w:id="17"/>
      <w:bookmarkEnd w:id="18"/>
      <w:r>
        <w:rPr>
          <w:rFonts w:ascii="楷体" w:eastAsia="楷体" w:cs="楷体" w:hint="eastAsia"/>
          <w:bCs/>
          <w:color w:val="auto"/>
          <w:sz w:val="32"/>
          <w:szCs w:val="32"/>
        </w:rPr>
        <w:t>（二）202</w:t>
      </w:r>
      <w:r>
        <w:rPr>
          <w:rFonts w:ascii="楷体" w:eastAsia="楷体" w:cs="楷体" w:hint="eastAsia"/>
          <w:bCs/>
          <w:color w:val="auto"/>
          <w:sz w:val="32"/>
          <w:szCs w:val="32"/>
          <w:lang w:val="en-US" w:eastAsia="zh-CN"/>
        </w:rPr>
        <w:t>1</w:t>
      </w:r>
      <w:r>
        <w:rPr>
          <w:rFonts w:ascii="楷体" w:eastAsia="楷体" w:cs="楷体" w:hint="eastAsia"/>
          <w:bCs/>
          <w:color w:val="auto"/>
          <w:sz w:val="32"/>
          <w:szCs w:val="32"/>
        </w:rPr>
        <w:t>年重点工作完成情况</w:t>
      </w:r>
      <w:bookmarkEnd w:id="19"/>
      <w:bookmarkEnd w:id="20"/>
    </w:p>
    <w:p>
      <w:pPr>
        <w:widowControl/>
        <w:adjustRightInd w:val="0"/>
        <w:snapToGrid w:val="0"/>
        <w:spacing w:line="353" w:lineRule="auto"/>
        <w:ind w:firstLineChars="200" w:firstLine="644"/>
        <w:textAlignment w:val="baseline"/>
        <w:rPr>
          <w:rFonts w:ascii="Times New Roman" w:eastAsia="仿宋_GB2312" w:cs="Times New Roman" w:hAnsi="Times New Roman"/>
          <w:color w:val="auto"/>
          <w:spacing w:val="0"/>
          <w:sz w:val="32"/>
          <w:szCs w:val="32"/>
          <w:lang w:bidi="ar-SA"/>
        </w:rPr>
      </w:pPr>
      <w:r>
        <w:rPr>
          <w:rFonts w:ascii="方正楷体_GBK" w:eastAsia="方正楷体_GBK" w:hint="eastAsia"/>
          <w:spacing w:val="-4"/>
          <w:sz w:val="33"/>
          <w:szCs w:val="33"/>
          <w:lang w:val="en-US" w:eastAsia="zh-CN"/>
        </w:rPr>
        <w:t>1.</w:t>
      </w:r>
      <w:r>
        <w:rPr>
          <w:rFonts w:ascii="方正楷体_GBK" w:eastAsia="方正楷体_GBK" w:hint="eastAsia"/>
          <w:spacing w:val="-4"/>
          <w:sz w:val="33"/>
          <w:szCs w:val="33"/>
        </w:rPr>
        <w:t>不断提升融资对接实效。</w:t>
      </w:r>
      <w:r>
        <w:rPr>
          <w:rFonts w:ascii="Times New Roman" w:eastAsia="仿宋_GB2312" w:cs="Times New Roman" w:hAnsi="Times New Roman"/>
          <w:spacing w:val="0"/>
          <w:sz w:val="32"/>
          <w:szCs w:val="32"/>
          <w:lang w:bidi="ar-SA"/>
        </w:rPr>
        <w:t>积极搭建政银企对接平台，组织召开2021年度全市金融工作暨政银企对接会议，推介重点项目43个，其中银江电站、沿江高速攀宁段等14个重大项目获得银行授信216.33亿元，融资余额80.78亿元。推动市政府与国开行四川省分行等10家银行机构签订“十四五”战略合作协议，为未来我市重大项目建设、产业体系</w:t>
      </w:r>
      <w:r>
        <w:rPr>
          <w:rFonts w:eastAsia="方正仿宋_GBK" w:hint="eastAsia"/>
          <w:spacing w:val="-4"/>
          <w:sz w:val="33"/>
          <w:szCs w:val="33"/>
        </w:rPr>
        <w:t>构</w:t>
      </w:r>
      <w:r>
        <w:rPr>
          <w:rFonts w:ascii="Times New Roman" w:eastAsia="仿宋_GB2312" w:cs="Times New Roman" w:hAnsi="Times New Roman"/>
          <w:spacing w:val="0"/>
          <w:sz w:val="32"/>
          <w:szCs w:val="32"/>
          <w:lang w:bidi="ar-SA"/>
        </w:rPr>
        <w:t>建、城市功能提升以及绿色低碳发展等领域注入金融支持动能。深入实施“金融顾问”服务，“一对一”精准制定融资方案，帮助企业破解资金难题，立新养殖、航钛新材料等企业实现融资近3亿元。落实有扶有控的差异化信贷政策，持续推动信贷资源向重点领域、薄弱环节倾斜，</w:t>
      </w:r>
      <w:r>
        <w:rPr>
          <w:rFonts w:ascii="Times New Roman" w:eastAsia="仿宋_GB2312" w:cs="Times New Roman" w:hAnsi="Times New Roman"/>
          <w:color w:val="auto"/>
          <w:spacing w:val="0"/>
          <w:sz w:val="32"/>
          <w:szCs w:val="32"/>
          <w:lang w:bidi="ar-SA"/>
        </w:rPr>
        <w:t>截至1</w:t>
      </w:r>
      <w:r>
        <w:rPr>
          <w:rFonts w:eastAsia="仿宋_GB2312" w:cs="Times New Roman" w:hint="eastAsia"/>
          <w:color w:val="auto"/>
          <w:spacing w:val="0"/>
          <w:sz w:val="32"/>
          <w:szCs w:val="32"/>
          <w:lang w:val="en-US" w:eastAsia="zh-CN" w:bidi="ar-SA"/>
        </w:rPr>
        <w:t>2</w:t>
      </w:r>
      <w:r>
        <w:rPr>
          <w:rFonts w:ascii="Times New Roman" w:eastAsia="仿宋_GB2312" w:cs="Times New Roman" w:hAnsi="Times New Roman"/>
          <w:color w:val="auto"/>
          <w:spacing w:val="0"/>
          <w:sz w:val="32"/>
          <w:szCs w:val="32"/>
          <w:lang w:bidi="ar-SA"/>
        </w:rPr>
        <w:t>月末，</w:t>
      </w:r>
      <w:r>
        <w:rPr>
          <w:rFonts w:ascii="Times New Roman" w:eastAsia="仿宋_GB2312" w:cs="Times New Roman" w:hAnsi="Times New Roman"/>
          <w:color w:val="auto"/>
          <w:spacing w:val="0"/>
          <w:sz w:val="32"/>
          <w:szCs w:val="32"/>
          <w:lang w:eastAsia="zh-CN" w:bidi="ar-SA"/>
        </w:rPr>
        <w:t>全市全口径小微企业贷款余额</w:t>
      </w:r>
      <w:r>
        <w:rPr>
          <w:rFonts w:eastAsia="仿宋_GB2312" w:cs="Times New Roman" w:hint="eastAsia"/>
          <w:color w:val="auto"/>
          <w:spacing w:val="0"/>
          <w:sz w:val="32"/>
          <w:szCs w:val="32"/>
          <w:lang w:val="en-US" w:eastAsia="zh-CN" w:bidi="ar-SA"/>
        </w:rPr>
        <w:t>257.1</w:t>
      </w:r>
      <w:r>
        <w:rPr>
          <w:rFonts w:ascii="Times New Roman" w:eastAsia="仿宋_GB2312" w:cs="Times New Roman" w:hAnsi="Times New Roman"/>
          <w:color w:val="auto"/>
          <w:spacing w:val="0"/>
          <w:sz w:val="32"/>
          <w:szCs w:val="32"/>
          <w:lang w:eastAsia="zh-CN" w:bidi="ar-SA"/>
        </w:rPr>
        <w:t>亿元，占全市贷款余额的33.</w:t>
      </w:r>
      <w:r>
        <w:rPr>
          <w:rFonts w:eastAsia="仿宋_GB2312" w:cs="Times New Roman" w:hint="eastAsia"/>
          <w:color w:val="auto"/>
          <w:spacing w:val="0"/>
          <w:sz w:val="32"/>
          <w:szCs w:val="32"/>
          <w:lang w:val="en-US" w:eastAsia="zh-CN" w:bidi="ar-SA"/>
        </w:rPr>
        <w:t>65</w:t>
      </w:r>
      <w:r>
        <w:rPr>
          <w:rFonts w:ascii="Times New Roman" w:eastAsia="仿宋_GB2312" w:cs="Times New Roman" w:hAnsi="Times New Roman"/>
          <w:color w:val="auto"/>
          <w:spacing w:val="0"/>
          <w:sz w:val="32"/>
          <w:szCs w:val="32"/>
          <w:lang w:eastAsia="zh-CN" w:bidi="ar-SA"/>
        </w:rPr>
        <w:t>%，同比增长</w:t>
      </w:r>
      <w:r>
        <w:rPr>
          <w:rFonts w:eastAsia="仿宋_GB2312" w:cs="Times New Roman" w:hint="eastAsia"/>
          <w:color w:val="auto"/>
          <w:spacing w:val="0"/>
          <w:sz w:val="32"/>
          <w:szCs w:val="32"/>
          <w:lang w:val="en-US" w:eastAsia="zh-CN" w:bidi="ar-SA"/>
        </w:rPr>
        <w:t>14.46</w:t>
      </w:r>
      <w:r>
        <w:rPr>
          <w:rFonts w:ascii="Times New Roman" w:eastAsia="仿宋_GB2312" w:cs="Times New Roman" w:hAnsi="Times New Roman"/>
          <w:color w:val="auto"/>
          <w:spacing w:val="0"/>
          <w:sz w:val="32"/>
          <w:szCs w:val="32"/>
          <w:lang w:val="en-US" w:eastAsia="zh-CN" w:bidi="ar-SA"/>
        </w:rPr>
        <w:t>%</w:t>
      </w:r>
      <w:r>
        <w:rPr>
          <w:rFonts w:ascii="Times New Roman" w:eastAsia="仿宋_GB2312" w:cs="Times New Roman" w:hAnsi="Times New Roman"/>
          <w:color w:val="auto"/>
          <w:spacing w:val="0"/>
          <w:sz w:val="32"/>
          <w:szCs w:val="32"/>
          <w:lang w:eastAsia="zh-CN" w:bidi="ar-SA"/>
        </w:rPr>
        <w:t xml:space="preserve"> ；涉农贷款余额</w:t>
      </w:r>
      <w:r>
        <w:rPr>
          <w:rFonts w:eastAsia="仿宋_GB2312" w:cs="Times New Roman" w:hint="eastAsia"/>
          <w:color w:val="auto"/>
          <w:spacing w:val="0"/>
          <w:sz w:val="32"/>
          <w:szCs w:val="32"/>
          <w:lang w:val="en-US" w:eastAsia="zh-CN" w:bidi="ar-SA"/>
        </w:rPr>
        <w:t>155.03</w:t>
      </w:r>
      <w:r>
        <w:rPr>
          <w:rFonts w:ascii="Times New Roman" w:eastAsia="仿宋_GB2312" w:cs="Times New Roman" w:hAnsi="Times New Roman"/>
          <w:color w:val="auto"/>
          <w:spacing w:val="0"/>
          <w:sz w:val="32"/>
          <w:szCs w:val="32"/>
          <w:lang w:val="en-US" w:eastAsia="zh-CN" w:bidi="ar-SA"/>
        </w:rPr>
        <w:t>亿元，</w:t>
      </w:r>
      <w:r>
        <w:rPr>
          <w:rFonts w:ascii="Times New Roman" w:eastAsia="仿宋_GB2312" w:cs="Times New Roman" w:hAnsi="Times New Roman"/>
          <w:color w:val="auto"/>
          <w:spacing w:val="0"/>
          <w:sz w:val="32"/>
          <w:szCs w:val="32"/>
          <w:lang w:eastAsia="zh-CN" w:bidi="ar-SA"/>
        </w:rPr>
        <w:t>占全市贷款余额的20.</w:t>
      </w:r>
      <w:r>
        <w:rPr>
          <w:rFonts w:eastAsia="仿宋_GB2312" w:cs="Times New Roman" w:hint="eastAsia"/>
          <w:color w:val="auto"/>
          <w:spacing w:val="0"/>
          <w:sz w:val="32"/>
          <w:szCs w:val="32"/>
          <w:lang w:val="en-US" w:eastAsia="zh-CN" w:bidi="ar-SA"/>
        </w:rPr>
        <w:t>29</w:t>
      </w:r>
      <w:r>
        <w:rPr>
          <w:rFonts w:ascii="Times New Roman" w:eastAsia="仿宋_GB2312" w:cs="Times New Roman" w:hAnsi="Times New Roman"/>
          <w:color w:val="auto"/>
          <w:spacing w:val="0"/>
          <w:sz w:val="32"/>
          <w:szCs w:val="32"/>
          <w:lang w:eastAsia="zh-CN" w:bidi="ar-SA"/>
        </w:rPr>
        <w:t>%，同比增长</w:t>
      </w:r>
      <w:r>
        <w:rPr>
          <w:rFonts w:eastAsia="仿宋_GB2312" w:cs="Times New Roman" w:hint="eastAsia"/>
          <w:color w:val="auto"/>
          <w:spacing w:val="0"/>
          <w:sz w:val="32"/>
          <w:szCs w:val="32"/>
          <w:lang w:val="en-US" w:eastAsia="zh-CN" w:bidi="ar-SA"/>
        </w:rPr>
        <w:t>13.42</w:t>
      </w:r>
      <w:r>
        <w:rPr>
          <w:rFonts w:ascii="Times New Roman" w:eastAsia="仿宋_GB2312" w:cs="Times New Roman" w:hAnsi="Times New Roman"/>
          <w:color w:val="auto"/>
          <w:spacing w:val="0"/>
          <w:sz w:val="32"/>
          <w:szCs w:val="32"/>
          <w:lang w:eastAsia="zh-CN" w:bidi="ar-SA"/>
        </w:rPr>
        <w:t xml:space="preserve"> </w:t>
      </w:r>
      <w:r>
        <w:rPr>
          <w:rFonts w:ascii="Times New Roman" w:eastAsia="仿宋_GB2312" w:cs="Times New Roman" w:hAnsi="Times New Roman"/>
          <w:color w:val="auto"/>
          <w:spacing w:val="0"/>
          <w:sz w:val="32"/>
          <w:szCs w:val="32"/>
          <w:lang w:val="en-US" w:eastAsia="zh-CN" w:bidi="ar-SA"/>
        </w:rPr>
        <w:t>%；</w:t>
      </w:r>
      <w:r>
        <w:rPr>
          <w:rFonts w:eastAsia="仿宋_GB2312" w:cs="Times New Roman" w:hint="eastAsia"/>
          <w:color w:val="auto"/>
          <w:spacing w:val="0"/>
          <w:sz w:val="32"/>
          <w:szCs w:val="32"/>
          <w:lang w:val="en-US" w:eastAsia="zh-CN" w:bidi="ar-SA"/>
        </w:rPr>
        <w:t>制造业贷款余额264.19</w:t>
      </w:r>
      <w:r>
        <w:rPr>
          <w:rFonts w:ascii="Times New Roman" w:eastAsia="仿宋_GB2312" w:cs="Times New Roman" w:hAnsi="Times New Roman"/>
          <w:color w:val="auto"/>
          <w:spacing w:val="0"/>
          <w:sz w:val="32"/>
          <w:szCs w:val="32"/>
          <w:lang w:bidi="ar-SA"/>
        </w:rPr>
        <w:t>亿元，</w:t>
      </w:r>
      <w:r>
        <w:rPr>
          <w:rFonts w:ascii="Times New Roman" w:eastAsia="仿宋_GB2312" w:cs="Times New Roman" w:hAnsi="Times New Roman"/>
          <w:color w:val="auto"/>
          <w:spacing w:val="0"/>
          <w:sz w:val="32"/>
          <w:szCs w:val="32"/>
          <w:lang w:eastAsia="zh-CN" w:bidi="ar-SA"/>
        </w:rPr>
        <w:t>占全市贷款余额的</w:t>
      </w:r>
      <w:r>
        <w:rPr>
          <w:rFonts w:eastAsia="仿宋_GB2312" w:cs="Times New Roman" w:hint="eastAsia"/>
          <w:color w:val="auto"/>
          <w:spacing w:val="0"/>
          <w:sz w:val="32"/>
          <w:szCs w:val="32"/>
          <w:lang w:val="en-US" w:eastAsia="zh-CN" w:bidi="ar-SA"/>
        </w:rPr>
        <w:t>34.57</w:t>
      </w:r>
      <w:r>
        <w:rPr>
          <w:rFonts w:ascii="Times New Roman" w:eastAsia="仿宋_GB2312" w:cs="Times New Roman" w:hAnsi="Times New Roman"/>
          <w:color w:val="auto"/>
          <w:spacing w:val="0"/>
          <w:sz w:val="32"/>
          <w:szCs w:val="32"/>
          <w:lang w:eastAsia="zh-CN" w:bidi="ar-SA"/>
        </w:rPr>
        <w:t>%</w:t>
      </w:r>
      <w:r>
        <w:rPr>
          <w:rFonts w:eastAsia="仿宋_GB2312" w:cs="Times New Roman" w:hint="eastAsia"/>
          <w:color w:val="auto"/>
          <w:spacing w:val="0"/>
          <w:sz w:val="32"/>
          <w:szCs w:val="32"/>
          <w:lang w:eastAsia="zh-CN" w:bidi="ar-SA"/>
        </w:rPr>
        <w:t>，</w:t>
      </w:r>
      <w:r>
        <w:rPr>
          <w:rFonts w:ascii="Times New Roman" w:eastAsia="仿宋_GB2312" w:cs="Times New Roman" w:hAnsi="Times New Roman"/>
          <w:color w:val="auto"/>
          <w:kern w:val="2"/>
          <w:sz w:val="32"/>
          <w:szCs w:val="32"/>
          <w:lang w:bidi="ar-SA"/>
        </w:rPr>
        <w:t>同比增长</w:t>
      </w:r>
      <w:r>
        <w:rPr>
          <w:rFonts w:eastAsia="仿宋_GB2312" w:cs="Times New Roman" w:hint="eastAsia"/>
          <w:color w:val="auto"/>
          <w:kern w:val="2"/>
          <w:sz w:val="32"/>
          <w:szCs w:val="32"/>
          <w:lang w:val="en-US" w:eastAsia="zh-CN" w:bidi="ar-SA"/>
        </w:rPr>
        <w:t>5.65</w:t>
      </w:r>
      <w:r>
        <w:rPr>
          <w:rFonts w:ascii="Times New Roman" w:eastAsia="仿宋_GB2312" w:cs="Times New Roman" w:hAnsi="Times New Roman"/>
          <w:color w:val="auto"/>
          <w:kern w:val="2"/>
          <w:sz w:val="32"/>
          <w:szCs w:val="32"/>
          <w:lang w:bidi="ar-SA"/>
        </w:rPr>
        <w:t>%。</w:t>
      </w:r>
    </w:p>
    <w:p>
      <w:pPr>
        <w:adjustRightInd w:val="0"/>
        <w:snapToGrid w:val="0"/>
        <w:spacing w:line="353" w:lineRule="auto"/>
        <w:ind w:firstLineChars="200" w:firstLine="644"/>
        <w:jc w:val="left"/>
        <w:rPr>
          <w:rFonts w:ascii="Times New Roman" w:eastAsia="仿宋_GB2312" w:cs="Times New Roman" w:hAnsi="Times New Roman"/>
          <w:spacing w:val="0"/>
          <w:sz w:val="32"/>
          <w:szCs w:val="32"/>
          <w:lang w:bidi="ar-SA"/>
        </w:rPr>
      </w:pPr>
      <w:r>
        <w:rPr>
          <w:rFonts w:ascii="方正楷体_GBK" w:eastAsia="方正楷体_GBK" w:hint="eastAsia"/>
          <w:spacing w:val="-4"/>
          <w:sz w:val="33"/>
          <w:szCs w:val="33"/>
          <w:lang w:val="en-US" w:eastAsia="zh-CN"/>
        </w:rPr>
        <w:t>2.</w:t>
      </w:r>
      <w:r>
        <w:rPr>
          <w:rFonts w:ascii="方正楷体_GBK" w:eastAsia="方正楷体_GBK" w:hint="eastAsia"/>
          <w:spacing w:val="-4"/>
          <w:sz w:val="33"/>
          <w:szCs w:val="33"/>
        </w:rPr>
        <w:t>助力企业对接资本市场。</w:t>
      </w:r>
      <w:r>
        <w:rPr>
          <w:rFonts w:ascii="Times New Roman" w:eastAsia="仿宋_GB2312" w:cs="Times New Roman" w:hAnsi="Times New Roman"/>
          <w:spacing w:val="0"/>
          <w:sz w:val="32"/>
          <w:szCs w:val="32"/>
          <w:lang w:bidi="ar-SA"/>
        </w:rPr>
        <w:t>以“组合拳”形式制定出台系列奖补办法，配合制定《进一步激励企业上市挂牌的补充通知》《关于促进人力资源聚集的十六条政策措施》，支持企业上市，鼓励私募股权投资机构对攀投资。广泛挖掘主营业务突出、具有发展潜力的优质企业，不断充实全市挂牌上市后备资源，全市2家企业纳入省级后备企业库。持续实施上市梯次培育计划，联动解决重点培育企业卡脖子问题，秉扬科技成功登录北交所，成为北交所首批上市企业。鼓励支持市属国企探索运用债券工具，市国投集团、市城投公司通过发行企业债、中期票据等方式取得融资18亿元。</w:t>
      </w:r>
    </w:p>
    <w:p>
      <w:pPr>
        <w:widowControl/>
        <w:adjustRightInd w:val="0"/>
        <w:snapToGrid w:val="0"/>
        <w:spacing w:line="353" w:lineRule="auto"/>
        <w:ind w:firstLine="616"/>
        <w:textAlignment w:val="baseline"/>
        <w:rPr>
          <w:rFonts w:ascii="Times New Roman" w:eastAsia="仿宋_GB2312" w:cs="Times New Roman" w:hAnsi="Times New Roman"/>
          <w:spacing w:val="0"/>
          <w:sz w:val="32"/>
          <w:szCs w:val="32"/>
          <w:lang w:bidi="ar-SA"/>
        </w:rPr>
      </w:pPr>
      <w:r>
        <w:rPr>
          <w:rFonts w:ascii="方正楷体_GBK" w:eastAsia="方正楷体_GBK" w:hint="eastAsia"/>
          <w:spacing w:val="-4"/>
          <w:sz w:val="33"/>
          <w:szCs w:val="33"/>
          <w:lang w:val="en-US" w:eastAsia="zh-CN"/>
        </w:rPr>
        <w:t>3.</w:t>
      </w:r>
      <w:r>
        <w:rPr>
          <w:rFonts w:ascii="方正楷体_GBK" w:eastAsia="方正楷体_GBK" w:hint="eastAsia"/>
          <w:spacing w:val="-4"/>
          <w:sz w:val="33"/>
          <w:szCs w:val="33"/>
        </w:rPr>
        <w:t>坚决做好防范金融风险。</w:t>
      </w:r>
      <w:r>
        <w:rPr>
          <w:rFonts w:eastAsia="方正仿宋_GBK"/>
          <w:spacing w:val="-4"/>
          <w:sz w:val="33"/>
          <w:szCs w:val="33"/>
        </w:rPr>
        <w:t>持</w:t>
      </w:r>
      <w:r>
        <w:rPr>
          <w:rFonts w:ascii="Times New Roman" w:eastAsia="仿宋_GB2312" w:cs="Times New Roman" w:hAnsi="Times New Roman"/>
          <w:spacing w:val="0"/>
          <w:sz w:val="32"/>
          <w:szCs w:val="32"/>
          <w:lang w:bidi="ar-SA"/>
        </w:rPr>
        <w:t>续做好银行机构风险防范和处置，牢牢守住不发生系统性金融风险底线，全年累计处置不良贷款</w:t>
      </w:r>
      <w:r>
        <w:rPr>
          <w:rFonts w:eastAsia="仿宋_GB2312" w:cs="Times New Roman" w:hint="eastAsia"/>
          <w:spacing w:val="0"/>
          <w:sz w:val="32"/>
          <w:szCs w:val="32"/>
          <w:lang w:val="en-US" w:eastAsia="zh-CN" w:bidi="ar-SA"/>
        </w:rPr>
        <w:t>18.76</w:t>
      </w:r>
      <w:r>
        <w:rPr>
          <w:rFonts w:ascii="Times New Roman" w:eastAsia="仿宋_GB2312" w:cs="Times New Roman" w:hAnsi="Times New Roman"/>
          <w:spacing w:val="0"/>
          <w:sz w:val="32"/>
          <w:szCs w:val="32"/>
          <w:lang w:bidi="ar-SA"/>
        </w:rPr>
        <w:t>亿元，全市银行机构不良贷款率2.</w:t>
      </w:r>
      <w:r>
        <w:rPr>
          <w:rFonts w:eastAsia="仿宋_GB2312" w:cs="Times New Roman" w:hint="eastAsia"/>
          <w:spacing w:val="0"/>
          <w:sz w:val="32"/>
          <w:szCs w:val="32"/>
          <w:lang w:val="en-US" w:eastAsia="zh-CN" w:bidi="ar-SA"/>
        </w:rPr>
        <w:t>46</w:t>
      </w:r>
      <w:r>
        <w:rPr>
          <w:rFonts w:ascii="Times New Roman" w:eastAsia="仿宋_GB2312" w:cs="Times New Roman" w:hAnsi="Times New Roman"/>
          <w:spacing w:val="0"/>
          <w:sz w:val="32"/>
          <w:szCs w:val="32"/>
          <w:lang w:bidi="ar-SA"/>
        </w:rPr>
        <w:t>%，</w:t>
      </w:r>
      <w:r>
        <w:rPr>
          <w:rFonts w:ascii="Times New Roman" w:eastAsia="仿宋_GB2312" w:cs="Times New Roman" w:hAnsi="Times New Roman"/>
          <w:spacing w:val="0"/>
          <w:sz w:val="32"/>
          <w:szCs w:val="32"/>
          <w:lang w:val="en-US" w:eastAsia="zh-CN" w:bidi="ar-SA"/>
        </w:rPr>
        <w:t>低于</w:t>
      </w:r>
      <w:r>
        <w:rPr>
          <w:rFonts w:ascii="Times New Roman" w:eastAsia="仿宋_GB2312" w:cs="Times New Roman" w:hAnsi="Times New Roman"/>
          <w:spacing w:val="0"/>
          <w:sz w:val="32"/>
          <w:szCs w:val="32"/>
          <w:lang w:bidi="ar-SA"/>
        </w:rPr>
        <w:t>5%</w:t>
      </w:r>
      <w:r>
        <w:rPr>
          <w:rFonts w:ascii="Times New Roman" w:eastAsia="仿宋_GB2312" w:cs="Times New Roman" w:hAnsi="Times New Roman"/>
          <w:spacing w:val="0"/>
          <w:sz w:val="32"/>
          <w:szCs w:val="32"/>
          <w:lang w:eastAsia="zh-CN" w:bidi="ar-SA"/>
        </w:rPr>
        <w:t>的风险警戒线</w:t>
      </w:r>
      <w:r>
        <w:rPr>
          <w:rFonts w:ascii="Times New Roman" w:eastAsia="仿宋_GB2312" w:cs="Times New Roman" w:hAnsi="Times New Roman"/>
          <w:spacing w:val="0"/>
          <w:sz w:val="32"/>
          <w:szCs w:val="32"/>
          <w:lang w:bidi="ar-SA"/>
        </w:rPr>
        <w:t>。贯彻落实《防范和处置非法集资条例》相关要求，压实市、县（区）、乡镇（街道）三级责任。采取“线上+线下”、“集中+常态”相结合，组织做好2021年防范非法集资宣传月活动，不断扩大防范宣传覆盖面、提升防范宣传精准度，逐步实现市域范围内非法集资“无答案、少发生”目标。摸排</w:t>
      </w:r>
      <w:r>
        <w:rPr>
          <w:rFonts w:eastAsia="仿宋_GB2312" w:cs="Times New Roman" w:hint="eastAsia"/>
          <w:spacing w:val="0"/>
          <w:sz w:val="32"/>
          <w:szCs w:val="32"/>
          <w:lang w:val="en-US" w:eastAsia="zh-CN" w:bidi="ar-SA"/>
        </w:rPr>
        <w:t>市域企业</w:t>
      </w:r>
      <w:r>
        <w:rPr>
          <w:rFonts w:ascii="Times New Roman" w:eastAsia="仿宋_GB2312" w:cs="Times New Roman" w:hAnsi="Times New Roman"/>
          <w:spacing w:val="0"/>
          <w:sz w:val="32"/>
          <w:szCs w:val="32"/>
          <w:lang w:bidi="ar-SA"/>
        </w:rPr>
        <w:t>通过金交所渠道发行定融产品情况，提出定向融资理财产品风险防控建议，确保已发生的定融“存量”到期平稳兑付不违约，不发生涉众涉稳问题。排查私募投资基金管理人及私募股权投资基金产品，对存在名股实债、自融自用问题的基金进行处置，推动私募投资基金回归本源、规范发展。</w:t>
      </w:r>
    </w:p>
    <w:p>
      <w:pPr>
        <w:adjustRightInd w:val="0"/>
        <w:snapToGrid w:val="0"/>
        <w:spacing w:line="353" w:lineRule="auto"/>
        <w:ind w:firstLine="644"/>
        <w:rPr>
          <w:rFonts w:ascii="Times New Roman" w:eastAsia="仿宋_GB2312" w:cs="Times New Roman" w:hAnsi="Times New Roman"/>
          <w:spacing w:val="0"/>
          <w:sz w:val="32"/>
          <w:szCs w:val="32"/>
          <w:lang w:bidi="ar-SA"/>
        </w:rPr>
      </w:pPr>
      <w:r>
        <w:rPr>
          <w:rFonts w:ascii="方正楷体_GBK" w:eastAsia="方正楷体_GBK" w:hint="eastAsia"/>
          <w:spacing w:val="-4"/>
          <w:sz w:val="33"/>
          <w:szCs w:val="33"/>
          <w:lang w:val="en-US" w:eastAsia="zh-CN"/>
        </w:rPr>
        <w:t>4.</w:t>
      </w:r>
      <w:r>
        <w:rPr>
          <w:rFonts w:ascii="方正楷体_GBK" w:eastAsia="方正楷体_GBK" w:hint="eastAsia"/>
          <w:spacing w:val="-4"/>
          <w:sz w:val="33"/>
          <w:szCs w:val="33"/>
        </w:rPr>
        <w:t>规范地方金融行业经营。</w:t>
      </w:r>
      <w:r>
        <w:rPr>
          <w:rFonts w:ascii="Times New Roman" w:eastAsia="仿宋_GB2312" w:cs="Times New Roman" w:hAnsi="Times New Roman"/>
          <w:spacing w:val="0"/>
          <w:sz w:val="32"/>
          <w:szCs w:val="32"/>
          <w:lang w:bidi="ar-SA"/>
        </w:rPr>
        <w:t>坚持“减量、提质、增效”工作思路，强化对地方金融组织的监管和行业规范。聘请第三方机构，联合区（县）金融办开展辖内融资担保公司合规经营检查，并督促指导5家融资担保公司做好问题整改。积极对接省信用再担保、川发展融担等6家省级融担机构来攀开展业务对接，推动省农担在攀设立分公司，全力服务脱贫攻坚和乡村振兴。稳妥处置金丰小贷违规经营问题，约谈控股大股东及高管，助力其加快恢复服务实体经济能力。按照省局要求做好典当行年审工作，对6家典当行进行了现场合规经营检查，并督促其做好年审检查发现问题整改；指导3家“僵尸企业”退出典当行业。</w:t>
      </w:r>
    </w:p>
    <w:p>
      <w:pPr>
        <w:adjustRightInd w:val="0"/>
        <w:snapToGrid w:val="0"/>
        <w:spacing w:line="353" w:lineRule="auto"/>
        <w:ind w:firstLine="644"/>
        <w:rPr>
          <w:rFonts w:ascii="Times New Roman" w:eastAsia="仿宋_GB2312" w:cs="Times New Roman" w:hAnsi="Times New Roman"/>
          <w:spacing w:val="0"/>
          <w:sz w:val="32"/>
          <w:szCs w:val="32"/>
          <w:lang w:bidi="ar-SA"/>
        </w:rPr>
      </w:pPr>
      <w:r>
        <w:rPr>
          <w:rFonts w:eastAsia="方正楷体_GBK" w:hint="eastAsia"/>
          <w:kern w:val="0"/>
          <w:sz w:val="32"/>
          <w:szCs w:val="32"/>
          <w:lang w:val="en-US" w:eastAsia="zh-CN"/>
        </w:rPr>
        <w:t>5</w:t>
      </w:r>
      <w:r>
        <w:rPr>
          <w:rFonts w:eastAsia="方正楷体_GBK"/>
          <w:kern w:val="0"/>
          <w:sz w:val="32"/>
          <w:szCs w:val="32"/>
          <w:lang w:val="en-US" w:eastAsia="zh-CN"/>
        </w:rPr>
        <w:t>.</w:t>
      </w:r>
      <w:r>
        <w:rPr>
          <w:rFonts w:eastAsia="方正楷体_GBK"/>
          <w:kern w:val="0"/>
          <w:sz w:val="32"/>
          <w:szCs w:val="32"/>
        </w:rPr>
        <w:t>持续深化金融改革。</w:t>
      </w:r>
      <w:r>
        <w:rPr>
          <w:rFonts w:ascii="Times New Roman" w:eastAsia="仿宋_GB2312" w:cs="Times New Roman" w:hAnsi="Times New Roman"/>
          <w:spacing w:val="0"/>
          <w:sz w:val="32"/>
          <w:szCs w:val="32"/>
          <w:lang w:bidi="ar-SA"/>
        </w:rPr>
        <w:t>精心编制《攀枝花市金融业“十四五”发展规划》，</w:t>
      </w:r>
      <w:r>
        <w:rPr>
          <w:rFonts w:eastAsia="仿宋_GB2312" w:cs="Times New Roman" w:hint="eastAsia"/>
          <w:spacing w:val="0"/>
          <w:sz w:val="32"/>
          <w:szCs w:val="32"/>
          <w:lang w:val="en-US" w:eastAsia="zh-CN" w:bidi="ar-SA"/>
        </w:rPr>
        <w:t>统筹谋划“十四五”期间全市</w:t>
      </w:r>
      <w:r>
        <w:rPr>
          <w:rFonts w:ascii="Times New Roman" w:eastAsia="仿宋_GB2312" w:cs="Times New Roman" w:hAnsi="Times New Roman"/>
          <w:spacing w:val="0"/>
          <w:sz w:val="32"/>
          <w:szCs w:val="32"/>
          <w:lang w:bidi="ar-SA"/>
        </w:rPr>
        <w:t>金融工作；修订完善《攀枝花市金融机构支持地方经济发展考核办法》，引导银行机构加大对小微企业贷款的投放，提高小微企业融资可获得性。聚焦“攀钢钒钛产业生态圈”建设，积极探索应收账款质押融资新模式、新路径，累计为攀钢产业链企业提供融资支持</w:t>
      </w:r>
      <w:r>
        <w:rPr>
          <w:rFonts w:eastAsia="仿宋_GB2312" w:cs="Times New Roman" w:hint="eastAsia"/>
          <w:spacing w:val="0"/>
          <w:sz w:val="32"/>
          <w:szCs w:val="32"/>
          <w:lang w:val="en-US" w:eastAsia="zh-CN" w:bidi="ar-SA"/>
        </w:rPr>
        <w:t>60.72</w:t>
      </w:r>
      <w:r>
        <w:rPr>
          <w:rFonts w:ascii="Times New Roman" w:eastAsia="仿宋_GB2312" w:cs="Times New Roman" w:hAnsi="Times New Roman"/>
          <w:spacing w:val="0"/>
          <w:sz w:val="32"/>
          <w:szCs w:val="32"/>
          <w:lang w:bidi="ar-SA"/>
        </w:rPr>
        <w:t>亿元。创新金融服务方式，依托精准电力大数据，推出全川首个电力大数据金融产品“电眼看信用”；围绕钒钛产业产、供、销环节，创新推出全国首个全应用场景互联网平台“钛融易”，助推钒钛产业向数字化经济转型。</w:t>
      </w:r>
    </w:p>
    <w:p>
      <w:pPr>
        <w:pStyle w:val="15"/>
        <w:adjustRightInd w:val="0"/>
        <w:snapToGrid w:val="0"/>
        <w:spacing w:beforeLines="0" w:before="0" w:line="353" w:lineRule="auto"/>
        <w:ind w:firstLineChars="200" w:firstLine="640"/>
        <w:rPr>
          <w:rFonts w:ascii="黑体" w:eastAsia="黑体" w:cs="Times New Roman" w:hint="eastAsia"/>
          <w:spacing w:val="0"/>
          <w:sz w:val="32"/>
          <w:szCs w:val="32"/>
          <w:lang w:val="en-US" w:eastAsia="zh-CN" w:bidi="ar-SA"/>
        </w:rPr>
      </w:pPr>
      <w:r>
        <w:rPr>
          <w:rFonts w:ascii="黑体" w:eastAsia="黑体" w:cs="Times New Roman" w:hint="eastAsia"/>
          <w:spacing w:val="0"/>
          <w:sz w:val="32"/>
          <w:szCs w:val="32"/>
          <w:lang w:val="en-US" w:eastAsia="zh-CN" w:bidi="ar-SA"/>
        </w:rPr>
        <w:t>二、机构设置</w:t>
      </w:r>
    </w:p>
    <w:p>
      <w:pPr>
        <w:adjustRightInd w:val="0"/>
        <w:snapToGrid w:val="0"/>
        <w:spacing w:line="353" w:lineRule="auto"/>
        <w:ind w:firstLineChars="200" w:firstLine="640"/>
        <w:rPr>
          <w:rFonts w:eastAsia="仿宋_GB2312"/>
          <w:sz w:val="32"/>
          <w:szCs w:val="32"/>
        </w:rPr>
      </w:pPr>
      <w:r>
        <w:rPr>
          <w:rFonts w:eastAsia="仿宋_GB2312"/>
          <w:sz w:val="32"/>
          <w:szCs w:val="32"/>
        </w:rPr>
        <w:t>市政府组成部门。内设2个科室，即：综合监管科和金融发展科；下设1个事业单位，即：市金融发展促进中心。</w:t>
      </w: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pStyle w:val="15"/>
        <w:adjustRightInd w:val="0"/>
        <w:snapToGrid w:val="0"/>
        <w:spacing w:beforeLines="0" w:before="0" w:line="353" w:lineRule="auto"/>
        <w:rPr>
          <w:rFonts w:eastAsia="仿宋_GB2312"/>
          <w:sz w:val="32"/>
          <w:szCs w:val="32"/>
        </w:rPr>
      </w:pPr>
    </w:p>
    <w:p>
      <w:pPr>
        <w:widowControl/>
        <w:adjustRightInd w:val="0"/>
        <w:snapToGrid w:val="0"/>
        <w:spacing w:line="353" w:lineRule="auto"/>
        <w:jc w:val="left"/>
        <w:rPr>
          <w:rFonts w:eastAsia="仿宋"/>
          <w:color w:val="auto"/>
          <w:sz w:val="32"/>
          <w:szCs w:val="32"/>
        </w:rPr>
      </w:pPr>
    </w:p>
    <w:p>
      <w:pPr>
        <w:pStyle w:val="15"/>
      </w:pPr>
    </w:p>
    <w:p>
      <w:pPr>
        <w:widowControl/>
        <w:numPr>
          <w:ilvl w:val="0"/>
          <w:numId w:val="1"/>
        </w:numPr>
        <w:adjustRightInd w:val="0"/>
        <w:snapToGrid w:val="0"/>
        <w:spacing w:line="353" w:lineRule="auto"/>
        <w:jc w:val="center"/>
        <w:rPr>
          <w:rStyle w:val="26"/>
          <w:rFonts w:ascii="黑体" w:eastAsia="黑体" w:hint="eastAsia"/>
          <w:b w:val="0"/>
          <w:bCs w:val="0"/>
          <w:color w:val="auto"/>
        </w:rPr>
      </w:pPr>
      <w:r>
        <w:rPr>
          <w:rStyle w:val="26"/>
          <w:rFonts w:ascii="黑体" w:eastAsia="黑体"/>
          <w:b w:val="0"/>
          <w:bCs w:val="0"/>
          <w:color w:val="auto"/>
        </w:rPr>
        <w:t>202</w:t>
      </w:r>
      <w:r>
        <w:rPr>
          <w:rStyle w:val="26"/>
          <w:rFonts w:ascii="黑体" w:eastAsia="黑体" w:hint="eastAsia"/>
          <w:b w:val="0"/>
          <w:bCs w:val="0"/>
          <w:color w:val="auto"/>
          <w:lang w:val="en-US" w:eastAsia="zh-CN"/>
        </w:rPr>
        <w:t>1</w:t>
      </w:r>
      <w:r>
        <w:rPr>
          <w:rStyle w:val="26"/>
          <w:rFonts w:ascii="黑体" w:eastAsia="黑体" w:hint="eastAsia"/>
          <w:b w:val="0"/>
          <w:bCs w:val="0"/>
          <w:color w:val="auto"/>
        </w:rPr>
        <w:t>年度部门决算情况说明</w:t>
      </w:r>
    </w:p>
    <w:p>
      <w:pPr>
        <w:pStyle w:val="15"/>
        <w:adjustRightInd w:val="0"/>
        <w:snapToGrid w:val="0"/>
        <w:spacing w:beforeLines="0" w:before="0" w:line="353" w:lineRule="auto"/>
      </w:pPr>
    </w:p>
    <w:p>
      <w:pPr>
        <w:pStyle w:val="37"/>
        <w:adjustRightInd w:val="0"/>
        <w:snapToGrid w:val="0"/>
        <w:spacing w:line="353" w:lineRule="auto"/>
        <w:outlineLvl w:val="1"/>
        <w:rPr>
          <w:rStyle w:val="27"/>
          <w:rFonts w:ascii="黑体" w:eastAsia="黑体"/>
          <w:b w:val="0"/>
          <w:color w:val="auto"/>
        </w:rPr>
      </w:pPr>
      <w:r>
        <w:rPr>
          <w:rFonts w:ascii="黑体" w:eastAsia="黑体" w:hint="eastAsia"/>
          <w:color w:val="auto"/>
          <w:sz w:val="32"/>
          <w:szCs w:val="32"/>
        </w:rPr>
        <w:t>一、收</w:t>
      </w:r>
      <w:r>
        <w:rPr>
          <w:rStyle w:val="27"/>
          <w:rFonts w:ascii="黑体" w:eastAsia="黑体" w:hint="eastAsia"/>
          <w:b w:val="0"/>
          <w:color w:val="auto"/>
        </w:rPr>
        <w:t>入支出决算总体情况说明</w:t>
      </w:r>
    </w:p>
    <w:p>
      <w:pPr>
        <w:adjustRightInd w:val="0"/>
        <w:snapToGrid w:val="0"/>
        <w:spacing w:line="353" w:lineRule="auto"/>
        <w:ind w:left="0" w:firstLineChars="200" w:firstLine="640"/>
        <w:rPr>
          <w:rFonts w:eastAsia="仿宋_GB2312" w:hint="eastAsia"/>
          <w:sz w:val="32"/>
          <w:szCs w:val="32"/>
          <w:lang w:val="en-US" w:eastAsia="zh-CN"/>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年度收入与支出相等</w:t>
      </w:r>
      <w:r>
        <w:rPr>
          <w:rFonts w:eastAsia="仿宋_GB2312" w:hint="eastAsia"/>
          <w:sz w:val="32"/>
          <w:szCs w:val="32"/>
          <w:lang w:val="en-US" w:eastAsia="zh-CN"/>
        </w:rPr>
        <w:t>均</w:t>
      </w:r>
      <w:r>
        <w:rPr>
          <w:rFonts w:eastAsia="仿宋_GB2312" w:hint="eastAsia"/>
          <w:sz w:val="32"/>
          <w:szCs w:val="32"/>
        </w:rPr>
        <w:t>为</w:t>
      </w:r>
      <w:r>
        <w:rPr>
          <w:rFonts w:eastAsia="仿宋_GB2312" w:hint="eastAsia"/>
          <w:sz w:val="32"/>
          <w:szCs w:val="32"/>
          <w:lang w:val="en-US" w:eastAsia="zh-CN"/>
        </w:rPr>
        <w:t>294.78</w:t>
      </w:r>
      <w:r>
        <w:rPr>
          <w:rFonts w:eastAsia="仿宋_GB2312" w:hint="eastAsia"/>
          <w:sz w:val="32"/>
          <w:szCs w:val="32"/>
        </w:rPr>
        <w:t>万元。与20</w:t>
      </w:r>
      <w:r>
        <w:rPr>
          <w:rFonts w:eastAsia="仿宋_GB2312" w:hint="eastAsia"/>
          <w:sz w:val="32"/>
          <w:szCs w:val="32"/>
          <w:lang w:val="en-US" w:eastAsia="zh-CN"/>
        </w:rPr>
        <w:t>20</w:t>
      </w:r>
      <w:r>
        <w:rPr>
          <w:rFonts w:eastAsia="仿宋_GB2312" w:hint="eastAsia"/>
          <w:sz w:val="32"/>
          <w:szCs w:val="32"/>
        </w:rPr>
        <w:t>年（收入与支出相等）</w:t>
      </w:r>
      <w:r>
        <w:rPr>
          <w:rFonts w:eastAsia="仿宋_GB2312" w:hint="eastAsia"/>
          <w:sz w:val="32"/>
          <w:szCs w:val="32"/>
          <w:lang w:val="en-US" w:eastAsia="zh-CN"/>
        </w:rPr>
        <w:t>241.1</w:t>
      </w:r>
      <w:r>
        <w:rPr>
          <w:rFonts w:eastAsia="仿宋_GB2312" w:hint="eastAsia"/>
          <w:sz w:val="32"/>
          <w:szCs w:val="32"/>
        </w:rPr>
        <w:t>万元相比，收、支各增加</w:t>
      </w:r>
      <w:r>
        <w:rPr>
          <w:rFonts w:eastAsia="仿宋_GB2312" w:hint="eastAsia"/>
          <w:sz w:val="32"/>
          <w:szCs w:val="32"/>
          <w:lang w:val="en-US" w:eastAsia="zh-CN"/>
        </w:rPr>
        <w:t>53.68</w:t>
      </w:r>
      <w:r>
        <w:rPr>
          <w:rFonts w:eastAsia="仿宋_GB2312" w:hint="eastAsia"/>
          <w:sz w:val="32"/>
          <w:szCs w:val="32"/>
        </w:rPr>
        <w:t>万元，增长</w:t>
      </w:r>
      <w:r>
        <w:rPr>
          <w:rFonts w:eastAsia="仿宋_GB2312" w:hint="eastAsia"/>
          <w:sz w:val="32"/>
          <w:szCs w:val="32"/>
          <w:lang w:val="en-US" w:eastAsia="zh-CN"/>
        </w:rPr>
        <w:t>22.26</w:t>
      </w:r>
      <w:r>
        <w:rPr>
          <w:rFonts w:eastAsia="仿宋_GB2312" w:hint="eastAsia"/>
          <w:sz w:val="32"/>
          <w:szCs w:val="32"/>
        </w:rPr>
        <w:t>%。主要变动原因是增加</w:t>
      </w:r>
      <w:r>
        <w:rPr>
          <w:rFonts w:eastAsia="仿宋_GB2312" w:hint="eastAsia"/>
          <w:sz w:val="32"/>
          <w:szCs w:val="32"/>
          <w:lang w:val="en-US" w:eastAsia="zh-CN"/>
        </w:rPr>
        <w:t>2</w:t>
      </w:r>
      <w:r>
        <w:rPr>
          <w:rFonts w:eastAsia="仿宋_GB2312" w:hint="eastAsia"/>
          <w:sz w:val="32"/>
          <w:szCs w:val="32"/>
        </w:rPr>
        <w:t>人基本支出经费（</w:t>
      </w:r>
      <w:r>
        <w:rPr>
          <w:rFonts w:eastAsia="仿宋_GB2312" w:hint="eastAsia"/>
          <w:sz w:val="32"/>
          <w:szCs w:val="32"/>
          <w:lang w:val="en-US" w:eastAsia="zh-CN"/>
        </w:rPr>
        <w:t>调入3人，调出1人）。</w:t>
      </w:r>
    </w:p>
    <w:p>
      <w:pPr>
        <w:adjustRightInd w:val="0"/>
        <w:snapToGrid w:val="0"/>
        <w:spacing w:line="353" w:lineRule="auto"/>
        <w:ind w:firstLineChars="200" w:firstLine="420"/>
        <w:rPr>
          <w:rFonts w:eastAsia="仿宋_GB2312"/>
          <w:color w:val="auto"/>
          <w:sz w:val="32"/>
          <w:szCs w:val="32"/>
        </w:rPr>
      </w:pPr>
      <w:r>
        <w:drawing>
          <wp:inline distT="0" distB="0" distL="114300" distR="114300">
            <wp:extent cx="5304790" cy="2933065"/>
            <wp:effectExtent l="0" t="0" r="0" b="0"/>
            <wp:docPr id="1" name="图表 1"/>
            <wp:cNvGraphicFramePr>
              <a:graphicFrameLocks noChangeAspect="1"/>
            </wp:cNvGraphicFramePr>
            <a:graphic>
              <a:graphicData uri="http://schemas.openxmlformats.org/drawingml/2006/chart">
                <c:chart xmlns:c="http://schemas.openxmlformats.org/drawingml/2006/chart" r:id="rId8"/>
              </a:graphicData>
            </a:graphic>
          </wp:inline>
        </w:drawing>
      </w:r>
    </w:p>
    <w:p>
      <w:pPr>
        <w:adjustRightInd w:val="0"/>
        <w:snapToGrid w:val="0"/>
        <w:spacing w:line="353" w:lineRule="auto"/>
        <w:ind w:firstLineChars="200" w:firstLine="640"/>
        <w:rPr>
          <w:rFonts w:ascii="仿宋" w:eastAsia="仿宋"/>
          <w:color w:val="auto"/>
          <w:sz w:val="32"/>
          <w:szCs w:val="32"/>
        </w:rPr>
      </w:pPr>
      <w:r>
        <w:rPr>
          <w:rFonts w:ascii="仿宋" w:eastAsia="仿宋" w:hint="eastAsia"/>
          <w:color w:val="auto"/>
          <w:sz w:val="32"/>
          <w:szCs w:val="32"/>
        </w:rPr>
        <w:t>（图</w:t>
      </w:r>
      <w:r>
        <w:rPr>
          <w:rFonts w:ascii="仿宋" w:eastAsia="仿宋"/>
          <w:color w:val="auto"/>
          <w:sz w:val="32"/>
          <w:szCs w:val="32"/>
        </w:rPr>
        <w:t>1</w:t>
      </w:r>
      <w:r>
        <w:rPr>
          <w:rFonts w:ascii="仿宋" w:eastAsia="仿宋" w:hint="eastAsia"/>
          <w:color w:val="auto"/>
          <w:sz w:val="32"/>
          <w:szCs w:val="32"/>
        </w:rPr>
        <w:t>：收、支决算总计变动情况图）（柱状图）</w:t>
      </w:r>
    </w:p>
    <w:p>
      <w:pPr>
        <w:pStyle w:val="33"/>
        <w:adjustRightInd w:val="0"/>
        <w:snapToGrid w:val="0"/>
        <w:spacing w:line="353" w:lineRule="auto"/>
        <w:ind w:firstLineChars="200" w:firstLine="640"/>
        <w:outlineLvl w:val="1"/>
        <w:rPr>
          <w:rStyle w:val="27"/>
          <w:rFonts w:ascii="黑体" w:eastAsia="黑体"/>
          <w:b w:val="0"/>
          <w:color w:val="auto"/>
        </w:rPr>
      </w:pPr>
      <w:r>
        <w:rPr>
          <w:rFonts w:ascii="黑体" w:eastAsia="黑体" w:hint="eastAsia"/>
          <w:color w:val="auto"/>
          <w:sz w:val="32"/>
          <w:szCs w:val="32"/>
        </w:rPr>
        <w:t>二、收</w:t>
      </w:r>
      <w:r>
        <w:rPr>
          <w:rStyle w:val="27"/>
          <w:rFonts w:ascii="黑体" w:eastAsia="黑体" w:hint="eastAsia"/>
          <w:b w:val="0"/>
          <w:color w:val="auto"/>
        </w:rPr>
        <w:t>入决算情况说明</w:t>
      </w:r>
    </w:p>
    <w:p>
      <w:pPr>
        <w:adjustRightInd w:val="0"/>
        <w:snapToGrid w:val="0"/>
        <w:spacing w:line="353" w:lineRule="auto"/>
        <w:ind w:firstLineChars="200" w:firstLine="640"/>
        <w:rPr>
          <w:rFonts w:eastAsia="仿宋_GB2312"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年收入合计</w:t>
      </w:r>
      <w:r>
        <w:rPr>
          <w:rFonts w:eastAsia="仿宋_GB2312" w:hint="eastAsia"/>
          <w:sz w:val="32"/>
          <w:szCs w:val="32"/>
          <w:lang w:val="en-US" w:eastAsia="zh-CN"/>
        </w:rPr>
        <w:t>294.78</w:t>
      </w:r>
      <w:r>
        <w:rPr>
          <w:rFonts w:eastAsia="仿宋_GB2312" w:hint="eastAsia"/>
          <w:sz w:val="32"/>
          <w:szCs w:val="32"/>
        </w:rPr>
        <w:t>万元，其中：一般公共预算财政拨款收入</w:t>
      </w:r>
      <w:r>
        <w:rPr>
          <w:rFonts w:eastAsia="仿宋_GB2312" w:hint="eastAsia"/>
          <w:sz w:val="32"/>
          <w:szCs w:val="32"/>
          <w:lang w:val="en-US" w:eastAsia="zh-CN"/>
        </w:rPr>
        <w:t>294.78</w:t>
      </w:r>
      <w:r>
        <w:rPr>
          <w:rFonts w:eastAsia="仿宋_GB2312" w:hint="eastAsia"/>
          <w:sz w:val="32"/>
          <w:szCs w:val="32"/>
        </w:rPr>
        <w:t>万元，占100%。</w:t>
      </w:r>
    </w:p>
    <w:p>
      <w:pPr>
        <w:adjustRightInd w:val="0"/>
        <w:snapToGrid w:val="0"/>
        <w:spacing w:line="353" w:lineRule="auto"/>
        <w:ind w:firstLineChars="200" w:firstLine="640"/>
        <w:rPr>
          <w:rFonts w:ascii="仿宋" w:eastAsia="仿宋"/>
          <w:color w:val="auto"/>
          <w:sz w:val="32"/>
          <w:szCs w:val="32"/>
        </w:rPr>
      </w:pPr>
    </w:p>
    <w:p>
      <w:pPr>
        <w:adjustRightInd w:val="0"/>
        <w:snapToGrid w:val="0"/>
        <w:spacing w:line="353" w:lineRule="auto"/>
        <w:ind w:firstLineChars="200" w:firstLine="640"/>
        <w:rPr>
          <w:rFonts w:ascii="仿宋" w:eastAsia="仿宋"/>
          <w:color w:val="auto"/>
          <w:sz w:val="32"/>
          <w:szCs w:val="32"/>
        </w:rPr>
      </w:pPr>
    </w:p>
    <w:p>
      <w:pPr>
        <w:adjustRightInd w:val="0"/>
        <w:snapToGrid w:val="0"/>
        <w:spacing w:line="353" w:lineRule="auto"/>
        <w:ind w:firstLineChars="200" w:firstLine="640"/>
        <w:rPr>
          <w:rFonts w:ascii="仿宋" w:eastAsia="仿宋"/>
          <w:color w:val="auto"/>
          <w:sz w:val="32"/>
          <w:szCs w:val="32"/>
        </w:rPr>
      </w:pPr>
    </w:p>
    <w:p>
      <w:pPr>
        <w:adjustRightInd w:val="0"/>
        <w:snapToGrid w:val="0"/>
        <w:spacing w:line="353" w:lineRule="auto"/>
        <w:ind w:firstLineChars="200" w:firstLine="420"/>
        <w:rPr>
          <w:color w:val="auto"/>
        </w:rPr>
      </w:pPr>
      <w:r>
        <w:rPr>
          <w:color w:val="auto"/>
        </w:rPr>
        <w:drawing>
          <wp:inline distT="0" distB="0" distL="114300" distR="114300">
            <wp:extent cx="4572000" cy="2743200"/>
            <wp:effectExtent l="0" t="0" r="0" b="0"/>
            <wp:docPr id="2" name="图表 3"/>
            <wp:cNvGraphicFramePr>
              <a:graphicFrameLocks noChangeAspect="1"/>
            </wp:cNvGraphicFramePr>
            <a:graphic>
              <a:graphicData uri="http://schemas.openxmlformats.org/drawingml/2006/chart">
                <c:chart xmlns:c="http://schemas.openxmlformats.org/drawingml/2006/chart" r:id="rId9"/>
              </a:graphicData>
            </a:graphic>
          </wp:inline>
        </w:drawing>
      </w:r>
    </w:p>
    <w:p>
      <w:pPr>
        <w:adjustRightInd w:val="0"/>
        <w:snapToGrid w:val="0"/>
        <w:spacing w:line="353" w:lineRule="auto"/>
        <w:ind w:left="0"/>
        <w:jc w:val="center"/>
        <w:rPr>
          <w:rFonts w:ascii="仿宋" w:eastAsia="仿宋"/>
          <w:color w:val="auto"/>
          <w:sz w:val="32"/>
          <w:szCs w:val="32"/>
        </w:rPr>
      </w:pPr>
      <w:r>
        <w:rPr>
          <w:rFonts w:ascii="仿宋" w:eastAsia="仿宋" w:hint="eastAsia"/>
          <w:color w:val="auto"/>
          <w:sz w:val="32"/>
          <w:szCs w:val="32"/>
        </w:rPr>
        <w:t>（图</w:t>
      </w:r>
      <w:r>
        <w:rPr>
          <w:rFonts w:ascii="仿宋" w:eastAsia="仿宋"/>
          <w:color w:val="auto"/>
          <w:sz w:val="32"/>
          <w:szCs w:val="32"/>
        </w:rPr>
        <w:t>2</w:t>
      </w:r>
      <w:r>
        <w:rPr>
          <w:rFonts w:ascii="仿宋" w:eastAsia="仿宋" w:hint="eastAsia"/>
          <w:color w:val="auto"/>
          <w:sz w:val="32"/>
          <w:szCs w:val="32"/>
        </w:rPr>
        <w:t>：收入决算结构图）（饼状图）</w:t>
      </w:r>
    </w:p>
    <w:p>
      <w:pPr>
        <w:pStyle w:val="15"/>
        <w:adjustRightInd w:val="0"/>
        <w:snapToGrid w:val="0"/>
        <w:spacing w:beforeLines="0" w:before="0" w:line="353" w:lineRule="auto"/>
        <w:rPr>
          <w:color w:val="auto"/>
        </w:rPr>
      </w:pPr>
    </w:p>
    <w:p>
      <w:pPr>
        <w:pStyle w:val="37"/>
        <w:adjustRightInd w:val="0"/>
        <w:snapToGrid w:val="0"/>
        <w:spacing w:line="353" w:lineRule="auto"/>
        <w:outlineLvl w:val="1"/>
        <w:rPr>
          <w:rStyle w:val="27"/>
          <w:rFonts w:ascii="黑体" w:eastAsia="黑体"/>
          <w:b w:val="0"/>
          <w:color w:val="auto"/>
        </w:rPr>
      </w:pPr>
      <w:r>
        <w:rPr>
          <w:rFonts w:ascii="黑体" w:eastAsia="黑体" w:hint="eastAsia"/>
          <w:color w:val="auto"/>
          <w:sz w:val="32"/>
          <w:szCs w:val="32"/>
        </w:rPr>
        <w:t>三、支</w:t>
      </w:r>
      <w:r>
        <w:rPr>
          <w:rStyle w:val="27"/>
          <w:rFonts w:ascii="黑体" w:eastAsia="黑体" w:hint="eastAsia"/>
          <w:b w:val="0"/>
          <w:color w:val="auto"/>
        </w:rPr>
        <w:t>出决算情况说明</w:t>
      </w:r>
    </w:p>
    <w:p>
      <w:pPr>
        <w:adjustRightInd w:val="0"/>
        <w:snapToGrid w:val="0"/>
        <w:spacing w:line="353" w:lineRule="auto"/>
        <w:ind w:firstLineChars="200" w:firstLine="640"/>
        <w:outlineLvl w:val="1"/>
        <w:rPr>
          <w:rFonts w:eastAsia="仿宋_GB2312"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年支出合计</w:t>
      </w:r>
      <w:r>
        <w:rPr>
          <w:rFonts w:eastAsia="仿宋_GB2312" w:hint="eastAsia"/>
          <w:sz w:val="32"/>
          <w:szCs w:val="32"/>
          <w:lang w:val="en-US" w:eastAsia="zh-CN"/>
        </w:rPr>
        <w:t>294.78</w:t>
      </w:r>
      <w:r>
        <w:rPr>
          <w:rFonts w:eastAsia="仿宋_GB2312" w:hint="eastAsia"/>
          <w:sz w:val="32"/>
          <w:szCs w:val="32"/>
        </w:rPr>
        <w:t>万元，其中：一般公共服务支出</w:t>
      </w:r>
      <w:r>
        <w:rPr>
          <w:rFonts w:eastAsia="仿宋_GB2312" w:hint="eastAsia"/>
          <w:sz w:val="32"/>
          <w:szCs w:val="32"/>
          <w:lang w:val="en-US" w:eastAsia="zh-CN"/>
        </w:rPr>
        <w:t>26.54</w:t>
      </w:r>
      <w:r>
        <w:rPr>
          <w:rFonts w:eastAsia="仿宋_GB2312" w:hint="eastAsia"/>
          <w:sz w:val="32"/>
          <w:szCs w:val="32"/>
        </w:rPr>
        <w:t>万元，占</w:t>
      </w:r>
      <w:r>
        <w:rPr>
          <w:rFonts w:eastAsia="仿宋_GB2312" w:hint="eastAsia"/>
          <w:sz w:val="32"/>
          <w:szCs w:val="32"/>
          <w:lang w:val="en-US" w:eastAsia="zh-CN"/>
        </w:rPr>
        <w:t>9</w:t>
      </w:r>
      <w:r>
        <w:rPr>
          <w:rFonts w:eastAsia="仿宋_GB2312" w:hint="eastAsia"/>
          <w:sz w:val="32"/>
          <w:szCs w:val="32"/>
        </w:rPr>
        <w:t>%</w:t>
      </w:r>
      <w:r>
        <w:rPr>
          <w:rFonts w:eastAsia="仿宋_GB2312" w:hint="eastAsia"/>
          <w:sz w:val="32"/>
          <w:szCs w:val="32"/>
          <w:lang w:eastAsia="zh-CN"/>
        </w:rPr>
        <w:t>；</w:t>
      </w:r>
      <w:r>
        <w:rPr>
          <w:rFonts w:eastAsia="仿宋_GB2312" w:hint="eastAsia"/>
          <w:sz w:val="32"/>
          <w:szCs w:val="32"/>
        </w:rPr>
        <w:t>社会保障和就业支出</w:t>
      </w:r>
      <w:r>
        <w:rPr>
          <w:rFonts w:eastAsia="仿宋_GB2312" w:hint="eastAsia"/>
          <w:sz w:val="32"/>
          <w:szCs w:val="32"/>
          <w:lang w:val="en-US" w:eastAsia="zh-CN"/>
        </w:rPr>
        <w:t>18.49</w:t>
      </w:r>
      <w:r>
        <w:rPr>
          <w:rFonts w:eastAsia="仿宋_GB2312" w:hint="eastAsia"/>
          <w:sz w:val="32"/>
          <w:szCs w:val="32"/>
        </w:rPr>
        <w:t>万元，占</w:t>
      </w:r>
      <w:r>
        <w:rPr>
          <w:rFonts w:eastAsia="仿宋_GB2312" w:hint="eastAsia"/>
          <w:sz w:val="32"/>
          <w:szCs w:val="32"/>
          <w:lang w:val="en-US" w:eastAsia="zh-CN"/>
        </w:rPr>
        <w:t>6.27</w:t>
      </w:r>
      <w:r>
        <w:rPr>
          <w:rFonts w:eastAsia="仿宋_GB2312" w:hint="eastAsia"/>
          <w:sz w:val="32"/>
          <w:szCs w:val="32"/>
        </w:rPr>
        <w:t>%</w:t>
      </w:r>
      <w:r>
        <w:rPr>
          <w:rFonts w:eastAsia="仿宋_GB2312" w:hint="eastAsia"/>
          <w:sz w:val="32"/>
          <w:szCs w:val="32"/>
          <w:lang w:eastAsia="zh-CN"/>
        </w:rPr>
        <w:t>；</w:t>
      </w:r>
      <w:r>
        <w:rPr>
          <w:rFonts w:eastAsia="仿宋_GB2312" w:hint="eastAsia"/>
          <w:sz w:val="32"/>
          <w:szCs w:val="32"/>
        </w:rPr>
        <w:t>金融支出</w:t>
      </w:r>
      <w:r>
        <w:rPr>
          <w:rFonts w:eastAsia="仿宋_GB2312" w:hint="eastAsia"/>
          <w:sz w:val="32"/>
          <w:szCs w:val="32"/>
          <w:lang w:val="en-US" w:eastAsia="zh-CN"/>
        </w:rPr>
        <w:t>231.92</w:t>
      </w:r>
      <w:r>
        <w:rPr>
          <w:rFonts w:eastAsia="仿宋_GB2312" w:hint="eastAsia"/>
          <w:sz w:val="32"/>
          <w:szCs w:val="32"/>
        </w:rPr>
        <w:t>万元，占</w:t>
      </w:r>
      <w:r>
        <w:rPr>
          <w:rFonts w:eastAsia="仿宋_GB2312" w:hint="eastAsia"/>
          <w:sz w:val="32"/>
          <w:szCs w:val="32"/>
          <w:lang w:val="en-US" w:eastAsia="zh-CN"/>
        </w:rPr>
        <w:t>78.68</w:t>
      </w:r>
      <w:r>
        <w:rPr>
          <w:rFonts w:eastAsia="仿宋_GB2312" w:hint="eastAsia"/>
          <w:sz w:val="32"/>
          <w:szCs w:val="32"/>
        </w:rPr>
        <w:t>%，住房保障支出17.</w:t>
      </w:r>
      <w:r>
        <w:rPr>
          <w:rFonts w:eastAsia="仿宋_GB2312" w:hint="eastAsia"/>
          <w:sz w:val="32"/>
          <w:szCs w:val="32"/>
          <w:lang w:val="en-US" w:eastAsia="zh-CN"/>
        </w:rPr>
        <w:t>83</w:t>
      </w:r>
      <w:r>
        <w:rPr>
          <w:rFonts w:eastAsia="仿宋_GB2312" w:hint="eastAsia"/>
          <w:sz w:val="32"/>
          <w:szCs w:val="32"/>
        </w:rPr>
        <w:t>万元，占</w:t>
      </w:r>
      <w:r>
        <w:rPr>
          <w:rFonts w:eastAsia="仿宋_GB2312" w:hint="eastAsia"/>
          <w:sz w:val="32"/>
          <w:szCs w:val="32"/>
          <w:lang w:val="en-US" w:eastAsia="zh-CN"/>
        </w:rPr>
        <w:t>6.05</w:t>
      </w:r>
      <w:r>
        <w:rPr>
          <w:rFonts w:eastAsia="仿宋_GB2312" w:hint="eastAsia"/>
          <w:sz w:val="32"/>
          <w:szCs w:val="32"/>
        </w:rPr>
        <w:t>%。</w:t>
      </w:r>
    </w:p>
    <w:p>
      <w:pPr>
        <w:adjustRightInd w:val="0"/>
        <w:snapToGrid w:val="0"/>
        <w:spacing w:line="353" w:lineRule="auto"/>
        <w:ind w:firstLineChars="200" w:firstLine="640"/>
        <w:rPr>
          <w:rFonts w:eastAsia="仿宋_GB2312" w:hint="eastAsia"/>
          <w:sz w:val="32"/>
          <w:szCs w:val="32"/>
          <w:lang w:val="en-US" w:eastAsia="zh-CN"/>
        </w:rPr>
      </w:pPr>
    </w:p>
    <w:p>
      <w:pPr>
        <w:adjustRightInd w:val="0"/>
        <w:snapToGrid w:val="0"/>
        <w:spacing w:line="353" w:lineRule="auto"/>
        <w:ind w:firstLineChars="200" w:firstLine="420"/>
        <w:rPr>
          <w:rFonts w:eastAsia="仿宋_GB2312"/>
          <w:sz w:val="32"/>
          <w:szCs w:val="32"/>
        </w:rPr>
      </w:pPr>
      <w:r>
        <w:drawing>
          <wp:inline distT="0" distB="0" distL="114300" distR="114300">
            <wp:extent cx="5086350" cy="2781300"/>
            <wp:effectExtent l="0" t="0" r="0" b="0"/>
            <wp:docPr id="3" name="图表 7"/>
            <wp:cNvGraphicFramePr>
              <a:graphicFrameLocks noChangeAspect="1"/>
            </wp:cNvGraphicFramePr>
            <a:graphic>
              <a:graphicData uri="http://schemas.openxmlformats.org/drawingml/2006/chart">
                <c:chart xmlns:c="http://schemas.openxmlformats.org/drawingml/2006/chart" r:id="rId10"/>
              </a:graphicData>
            </a:graphic>
          </wp:inline>
        </w:drawing>
      </w:r>
    </w:p>
    <w:p>
      <w:pPr>
        <w:adjustRightInd w:val="0"/>
        <w:snapToGrid w:val="0"/>
        <w:spacing w:line="353" w:lineRule="auto"/>
        <w:ind w:firstLineChars="200" w:firstLine="640"/>
        <w:outlineLvl w:val="1"/>
        <w:rPr>
          <w:rStyle w:val="27"/>
          <w:rFonts w:ascii="黑体" w:eastAsia="黑体" w:hint="eastAsia"/>
          <w:b w:val="0"/>
        </w:rPr>
      </w:pPr>
      <w:r>
        <w:rPr>
          <w:rStyle w:val="27"/>
          <w:rFonts w:ascii="黑体" w:eastAsia="黑体" w:hint="eastAsia"/>
          <w:b w:val="0"/>
        </w:rPr>
        <w:t>四、财政拨款收入支出决算总体情况说明</w:t>
      </w:r>
    </w:p>
    <w:p>
      <w:pPr>
        <w:adjustRightInd w:val="0"/>
        <w:snapToGrid w:val="0"/>
        <w:spacing w:line="353" w:lineRule="auto"/>
        <w:ind w:left="0"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lang w:val="en-US" w:eastAsia="zh-CN"/>
        </w:rPr>
        <w:t>1</w:t>
      </w:r>
      <w:r>
        <w:rPr>
          <w:rFonts w:eastAsia="仿宋_GB2312"/>
          <w:color w:val="000000"/>
          <w:sz w:val="32"/>
          <w:szCs w:val="32"/>
        </w:rPr>
        <w:t>年</w:t>
      </w:r>
      <w:r>
        <w:rPr>
          <w:rFonts w:eastAsia="仿宋_GB2312" w:hint="eastAsia"/>
          <w:color w:val="000000"/>
          <w:sz w:val="32"/>
          <w:szCs w:val="32"/>
        </w:rPr>
        <w:t>决算</w:t>
      </w:r>
      <w:r>
        <w:rPr>
          <w:rFonts w:eastAsia="仿宋_GB2312"/>
          <w:color w:val="000000"/>
          <w:sz w:val="32"/>
          <w:szCs w:val="32"/>
        </w:rPr>
        <w:t>收入</w:t>
      </w:r>
      <w:r>
        <w:rPr>
          <w:rFonts w:eastAsia="仿宋_GB2312" w:hint="eastAsia"/>
          <w:color w:val="000000"/>
          <w:sz w:val="32"/>
          <w:szCs w:val="32"/>
          <w:lang w:val="en-US" w:eastAsia="zh-CN"/>
        </w:rPr>
        <w:t>294.78</w:t>
      </w:r>
      <w:r>
        <w:rPr>
          <w:rFonts w:eastAsia="仿宋_GB2312" w:hint="eastAsia"/>
          <w:color w:val="000000"/>
          <w:sz w:val="32"/>
          <w:szCs w:val="32"/>
        </w:rPr>
        <w:t>万</w:t>
      </w:r>
      <w:r>
        <w:rPr>
          <w:rFonts w:eastAsia="仿宋_GB2312"/>
          <w:color w:val="000000"/>
          <w:sz w:val="32"/>
          <w:szCs w:val="32"/>
        </w:rPr>
        <w:t>元，比上年增加</w:t>
      </w:r>
      <w:r>
        <w:rPr>
          <w:rFonts w:eastAsia="仿宋_GB2312" w:hint="eastAsia"/>
          <w:color w:val="000000"/>
          <w:sz w:val="32"/>
          <w:szCs w:val="32"/>
          <w:lang w:val="en-US" w:eastAsia="zh-CN"/>
        </w:rPr>
        <w:t>53.68</w:t>
      </w:r>
      <w:r>
        <w:rPr>
          <w:rFonts w:eastAsia="仿宋_GB2312" w:hint="eastAsia"/>
          <w:color w:val="000000"/>
          <w:sz w:val="32"/>
          <w:szCs w:val="32"/>
        </w:rPr>
        <w:t>万</w:t>
      </w:r>
      <w:r>
        <w:rPr>
          <w:rFonts w:eastAsia="仿宋_GB2312"/>
          <w:color w:val="000000"/>
          <w:sz w:val="32"/>
          <w:szCs w:val="32"/>
        </w:rPr>
        <w:t>元，</w:t>
      </w:r>
      <w:r>
        <w:rPr>
          <w:rFonts w:eastAsia="仿宋_GB2312" w:hint="eastAsia"/>
          <w:color w:val="000000"/>
          <w:sz w:val="32"/>
          <w:szCs w:val="32"/>
        </w:rPr>
        <w:t>增长</w:t>
      </w:r>
      <w:r>
        <w:rPr>
          <w:rFonts w:eastAsia="仿宋_GB2312" w:hint="eastAsia"/>
          <w:color w:val="000000"/>
          <w:sz w:val="32"/>
          <w:szCs w:val="32"/>
          <w:lang w:val="en-US" w:eastAsia="zh-CN"/>
        </w:rPr>
        <w:t>22.26</w:t>
      </w:r>
      <w:r>
        <w:rPr>
          <w:rFonts w:eastAsia="仿宋_GB2312"/>
          <w:color w:val="000000"/>
          <w:sz w:val="32"/>
          <w:szCs w:val="32"/>
        </w:rPr>
        <w:t>%。</w:t>
      </w:r>
    </w:p>
    <w:p>
      <w:pPr>
        <w:adjustRightInd w:val="0"/>
        <w:snapToGrid w:val="0"/>
        <w:spacing w:line="353" w:lineRule="auto"/>
        <w:ind w:firstLineChars="200" w:firstLine="640"/>
        <w:rPr>
          <w:rFonts w:eastAsia="仿宋_GB2312" w:hint="eastAsia"/>
          <w:color w:val="000000"/>
          <w:sz w:val="32"/>
          <w:szCs w:val="32"/>
        </w:rPr>
      </w:pPr>
      <w:r>
        <w:rPr>
          <w:rFonts w:eastAsia="仿宋_GB2312"/>
          <w:color w:val="000000"/>
          <w:sz w:val="32"/>
          <w:szCs w:val="32"/>
        </w:rPr>
        <w:t>本年</w:t>
      </w:r>
      <w:r>
        <w:rPr>
          <w:rFonts w:eastAsia="仿宋_GB2312" w:hint="eastAsia"/>
          <w:color w:val="000000"/>
          <w:sz w:val="32"/>
          <w:szCs w:val="32"/>
        </w:rPr>
        <w:t>决算</w:t>
      </w:r>
      <w:r>
        <w:rPr>
          <w:rFonts w:eastAsia="仿宋_GB2312"/>
          <w:color w:val="000000"/>
          <w:sz w:val="32"/>
          <w:szCs w:val="32"/>
        </w:rPr>
        <w:t>收入：202</w:t>
      </w:r>
      <w:r>
        <w:rPr>
          <w:rFonts w:eastAsia="仿宋_GB2312" w:hint="eastAsia"/>
          <w:color w:val="000000"/>
          <w:sz w:val="32"/>
          <w:szCs w:val="32"/>
          <w:lang w:val="en-US" w:eastAsia="zh-CN"/>
        </w:rPr>
        <w:t>1</w:t>
      </w:r>
      <w:r>
        <w:rPr>
          <w:rFonts w:eastAsia="仿宋_GB2312"/>
          <w:color w:val="000000"/>
          <w:sz w:val="32"/>
          <w:szCs w:val="32"/>
        </w:rPr>
        <w:t>年一般公共预算财政拨款收入</w:t>
      </w:r>
      <w:r>
        <w:rPr>
          <w:rFonts w:eastAsia="仿宋_GB2312" w:hint="eastAsia"/>
          <w:color w:val="000000"/>
          <w:sz w:val="32"/>
          <w:szCs w:val="32"/>
          <w:lang w:val="en-US" w:eastAsia="zh-CN"/>
        </w:rPr>
        <w:t>294.78</w:t>
      </w:r>
      <w:r>
        <w:rPr>
          <w:rFonts w:eastAsia="仿宋_GB2312" w:hint="eastAsia"/>
          <w:color w:val="000000"/>
          <w:sz w:val="32"/>
          <w:szCs w:val="32"/>
        </w:rPr>
        <w:t>万</w:t>
      </w:r>
      <w:r>
        <w:rPr>
          <w:rFonts w:eastAsia="仿宋_GB2312"/>
          <w:color w:val="000000"/>
          <w:sz w:val="32"/>
          <w:szCs w:val="32"/>
        </w:rPr>
        <w:t>元，比上年增加</w:t>
      </w:r>
      <w:r>
        <w:rPr>
          <w:rFonts w:eastAsia="仿宋_GB2312" w:hint="eastAsia"/>
          <w:color w:val="000000"/>
          <w:sz w:val="32"/>
          <w:szCs w:val="32"/>
          <w:lang w:val="en-US" w:eastAsia="zh-CN"/>
        </w:rPr>
        <w:t>53.68</w:t>
      </w:r>
      <w:r>
        <w:rPr>
          <w:rFonts w:eastAsia="仿宋_GB2312" w:hint="eastAsia"/>
          <w:color w:val="000000"/>
          <w:sz w:val="32"/>
          <w:szCs w:val="32"/>
        </w:rPr>
        <w:t>万</w:t>
      </w:r>
      <w:r>
        <w:rPr>
          <w:rFonts w:eastAsia="仿宋_GB2312"/>
          <w:color w:val="000000"/>
          <w:sz w:val="32"/>
          <w:szCs w:val="32"/>
        </w:rPr>
        <w:t>元，</w:t>
      </w:r>
      <w:r>
        <w:rPr>
          <w:rFonts w:eastAsia="仿宋_GB2312" w:hint="eastAsia"/>
          <w:color w:val="000000"/>
          <w:sz w:val="32"/>
          <w:szCs w:val="32"/>
        </w:rPr>
        <w:t>增长</w:t>
      </w:r>
      <w:r>
        <w:rPr>
          <w:rFonts w:eastAsia="仿宋_GB2312" w:hint="eastAsia"/>
          <w:color w:val="000000"/>
          <w:sz w:val="32"/>
          <w:szCs w:val="32"/>
          <w:lang w:val="en-US" w:eastAsia="zh-CN"/>
        </w:rPr>
        <w:t>22.2</w:t>
      </w:r>
      <w:r>
        <w:rPr>
          <w:rFonts w:eastAsia="仿宋_GB2312"/>
          <w:color w:val="000000"/>
          <w:sz w:val="32"/>
          <w:szCs w:val="32"/>
          <w:lang w:val="en-US" w:eastAsia="zh-CN"/>
        </w:rPr>
        <w:t>6</w:t>
      </w:r>
      <w:r>
        <w:rPr>
          <w:rFonts w:eastAsia="仿宋_GB2312"/>
          <w:color w:val="000000"/>
          <w:sz w:val="32"/>
          <w:szCs w:val="32"/>
        </w:rPr>
        <w:t>%</w:t>
      </w:r>
      <w:r>
        <w:rPr>
          <w:rFonts w:eastAsia="仿宋_GB2312" w:hint="eastAsia"/>
          <w:color w:val="000000"/>
          <w:sz w:val="32"/>
          <w:szCs w:val="32"/>
        </w:rPr>
        <w:t>；</w:t>
      </w:r>
      <w:r>
        <w:rPr>
          <w:rFonts w:eastAsia="仿宋_GB2312" w:hint="eastAsia"/>
          <w:color w:val="000000"/>
          <w:sz w:val="32"/>
          <w:szCs w:val="32"/>
          <w:lang w:val="en-US" w:eastAsia="zh-CN"/>
        </w:rPr>
        <w:t>无</w:t>
      </w:r>
      <w:r>
        <w:rPr>
          <w:rFonts w:eastAsia="仿宋_GB2312"/>
          <w:color w:val="000000"/>
          <w:sz w:val="32"/>
          <w:szCs w:val="32"/>
        </w:rPr>
        <w:t>政府性基金预算财政拨款</w:t>
      </w:r>
      <w:r>
        <w:rPr>
          <w:rFonts w:eastAsia="仿宋_GB2312" w:hint="eastAsia"/>
          <w:color w:val="000000"/>
          <w:sz w:val="32"/>
          <w:szCs w:val="32"/>
        </w:rPr>
        <w:t>收入</w:t>
      </w:r>
      <w:r>
        <w:rPr>
          <w:rFonts w:eastAsia="仿宋_GB2312" w:hint="eastAsia"/>
          <w:color w:val="000000"/>
          <w:sz w:val="32"/>
          <w:szCs w:val="32"/>
          <w:lang w:eastAsia="zh-CN"/>
        </w:rPr>
        <w:t>，</w:t>
      </w:r>
      <w:r>
        <w:rPr>
          <w:rFonts w:eastAsia="仿宋_GB2312" w:hint="eastAsia"/>
          <w:color w:val="000000"/>
          <w:sz w:val="32"/>
          <w:szCs w:val="32"/>
          <w:lang w:val="en-US" w:eastAsia="zh-CN"/>
        </w:rPr>
        <w:t>与上年相比</w:t>
      </w:r>
      <w:r>
        <w:rPr>
          <w:rFonts w:eastAsia="仿宋_GB2312" w:hint="eastAsia"/>
          <w:color w:val="000000"/>
          <w:sz w:val="32"/>
          <w:szCs w:val="32"/>
        </w:rPr>
        <w:t>差异的原因是增加</w:t>
      </w:r>
      <w:r>
        <w:rPr>
          <w:rFonts w:eastAsia="仿宋_GB2312" w:hint="eastAsia"/>
          <w:color w:val="000000"/>
          <w:sz w:val="32"/>
          <w:szCs w:val="32"/>
          <w:lang w:val="en-US" w:eastAsia="zh-CN"/>
        </w:rPr>
        <w:t>2</w:t>
      </w:r>
      <w:r>
        <w:rPr>
          <w:rFonts w:eastAsia="仿宋_GB2312" w:hint="eastAsia"/>
          <w:color w:val="000000"/>
          <w:sz w:val="32"/>
          <w:szCs w:val="32"/>
        </w:rPr>
        <w:t>人基本支出</w:t>
      </w:r>
      <w:r>
        <w:rPr>
          <w:rFonts w:eastAsia="仿宋_GB2312" w:hint="eastAsia"/>
          <w:color w:val="000000"/>
          <w:sz w:val="32"/>
          <w:szCs w:val="32"/>
          <w:lang w:eastAsia="zh-CN"/>
        </w:rPr>
        <w:t>（</w:t>
      </w:r>
      <w:r>
        <w:rPr>
          <w:rFonts w:eastAsia="仿宋_GB2312" w:hint="eastAsia"/>
          <w:color w:val="000000"/>
          <w:sz w:val="32"/>
          <w:szCs w:val="32"/>
          <w:lang w:val="en-US" w:eastAsia="zh-CN"/>
        </w:rPr>
        <w:t>调入3人，调出1人</w:t>
      </w:r>
      <w:r>
        <w:rPr>
          <w:rFonts w:eastAsia="仿宋_GB2312" w:hint="eastAsia"/>
          <w:color w:val="000000"/>
          <w:sz w:val="32"/>
          <w:szCs w:val="32"/>
          <w:lang w:eastAsia="zh-CN"/>
        </w:rPr>
        <w:t>）</w:t>
      </w:r>
      <w:r>
        <w:rPr>
          <w:rFonts w:eastAsia="仿宋_GB2312" w:hint="eastAsia"/>
          <w:color w:val="000000"/>
          <w:sz w:val="32"/>
          <w:szCs w:val="32"/>
        </w:rPr>
        <w:t>。</w:t>
      </w:r>
    </w:p>
    <w:p>
      <w:pPr>
        <w:adjustRightInd w:val="0"/>
        <w:snapToGrid w:val="0"/>
        <w:spacing w:line="353" w:lineRule="auto"/>
        <w:ind w:firstLineChars="200" w:firstLine="640"/>
        <w:rPr>
          <w:rFonts w:eastAsia="仿宋_GB2312"/>
          <w:color w:val="auto"/>
          <w:sz w:val="32"/>
          <w:szCs w:val="32"/>
        </w:rPr>
      </w:pPr>
      <w:r>
        <w:rPr>
          <w:rFonts w:eastAsia="仿宋_GB2312"/>
          <w:color w:val="auto"/>
          <w:sz w:val="32"/>
          <w:szCs w:val="32"/>
        </w:rPr>
        <w:t>本年</w:t>
      </w:r>
      <w:r>
        <w:rPr>
          <w:rFonts w:eastAsia="仿宋_GB2312" w:hint="eastAsia"/>
          <w:color w:val="auto"/>
          <w:sz w:val="32"/>
          <w:szCs w:val="32"/>
        </w:rPr>
        <w:t>决算</w:t>
      </w:r>
      <w:r>
        <w:rPr>
          <w:rFonts w:eastAsia="仿宋_GB2312"/>
          <w:color w:val="auto"/>
          <w:sz w:val="32"/>
          <w:szCs w:val="32"/>
        </w:rPr>
        <w:t>支出</w:t>
      </w:r>
      <w:r>
        <w:rPr>
          <w:rFonts w:eastAsia="仿宋_GB2312" w:hint="eastAsia"/>
          <w:color w:val="auto"/>
          <w:sz w:val="32"/>
          <w:szCs w:val="32"/>
          <w:lang w:val="en-US" w:eastAsia="zh-CN"/>
        </w:rPr>
        <w:t>294.78</w:t>
      </w:r>
      <w:r>
        <w:rPr>
          <w:rFonts w:eastAsia="仿宋_GB2312" w:hint="eastAsia"/>
          <w:color w:val="auto"/>
          <w:sz w:val="32"/>
          <w:szCs w:val="32"/>
        </w:rPr>
        <w:t>万</w:t>
      </w:r>
      <w:r>
        <w:rPr>
          <w:rFonts w:eastAsia="仿宋_GB2312"/>
          <w:color w:val="auto"/>
          <w:sz w:val="32"/>
          <w:szCs w:val="32"/>
        </w:rPr>
        <w:t>元，比上年增加</w:t>
      </w:r>
      <w:r>
        <w:rPr>
          <w:rFonts w:eastAsia="仿宋_GB2312" w:hint="eastAsia"/>
          <w:color w:val="auto"/>
          <w:sz w:val="32"/>
          <w:szCs w:val="32"/>
          <w:lang w:val="en-US" w:eastAsia="zh-CN"/>
        </w:rPr>
        <w:t>53.68万元</w:t>
      </w:r>
      <w:r>
        <w:rPr>
          <w:rFonts w:eastAsia="仿宋_GB2312"/>
          <w:color w:val="auto"/>
          <w:sz w:val="32"/>
          <w:szCs w:val="32"/>
        </w:rPr>
        <w:t>，增幅为</w:t>
      </w:r>
      <w:r>
        <w:rPr>
          <w:rFonts w:eastAsia="仿宋_GB2312" w:hint="eastAsia"/>
          <w:color w:val="auto"/>
          <w:sz w:val="32"/>
          <w:szCs w:val="32"/>
          <w:lang w:val="en-US" w:eastAsia="zh-CN"/>
        </w:rPr>
        <w:t>22.26</w:t>
      </w:r>
      <w:r>
        <w:rPr>
          <w:rFonts w:eastAsia="仿宋_GB2312"/>
          <w:color w:val="auto"/>
          <w:sz w:val="32"/>
          <w:szCs w:val="32"/>
        </w:rPr>
        <w:t>%。其中：</w:t>
      </w:r>
    </w:p>
    <w:p>
      <w:pPr>
        <w:adjustRightInd w:val="0"/>
        <w:snapToGrid w:val="0"/>
        <w:spacing w:line="353" w:lineRule="auto"/>
        <w:ind w:firstLineChars="200" w:firstLine="640"/>
        <w:rPr>
          <w:rFonts w:eastAsia="仿宋_GB2312" w:hint="eastAsia"/>
          <w:sz w:val="32"/>
          <w:szCs w:val="32"/>
          <w:lang w:val="en-US" w:eastAsia="zh-CN"/>
        </w:rPr>
      </w:pPr>
      <w:r>
        <w:rPr>
          <w:rFonts w:eastAsia="仿宋_GB2312"/>
          <w:sz w:val="32"/>
          <w:szCs w:val="32"/>
        </w:rPr>
        <w:t>基本支出</w:t>
      </w:r>
      <w:r>
        <w:rPr>
          <w:rFonts w:eastAsia="仿宋_GB2312" w:hint="eastAsia"/>
          <w:sz w:val="32"/>
          <w:szCs w:val="32"/>
          <w:lang w:val="en-US" w:eastAsia="zh-CN"/>
        </w:rPr>
        <w:t>237.89万</w:t>
      </w:r>
      <w:r>
        <w:rPr>
          <w:rFonts w:eastAsia="仿宋_GB2312"/>
          <w:sz w:val="32"/>
          <w:szCs w:val="32"/>
        </w:rPr>
        <w:t>元，比上年</w:t>
      </w:r>
      <w:r>
        <w:rPr>
          <w:rFonts w:eastAsia="仿宋_GB2312" w:hint="eastAsia"/>
          <w:sz w:val="32"/>
          <w:szCs w:val="32"/>
          <w:lang w:val="en-US" w:eastAsia="zh-CN"/>
        </w:rPr>
        <w:t>183.13万</w:t>
      </w:r>
      <w:r>
        <w:rPr>
          <w:rFonts w:eastAsia="仿宋_GB2312"/>
          <w:sz w:val="32"/>
          <w:szCs w:val="32"/>
        </w:rPr>
        <w:t>元增加</w:t>
      </w:r>
      <w:r>
        <w:rPr>
          <w:rFonts w:eastAsia="仿宋_GB2312" w:hint="eastAsia"/>
          <w:sz w:val="32"/>
          <w:szCs w:val="32"/>
          <w:lang w:val="en-US" w:eastAsia="zh-CN"/>
        </w:rPr>
        <w:t>54.76万</w:t>
      </w:r>
      <w:r>
        <w:rPr>
          <w:rFonts w:eastAsia="仿宋_GB2312"/>
          <w:sz w:val="32"/>
          <w:szCs w:val="32"/>
        </w:rPr>
        <w:t>元</w:t>
      </w:r>
      <w:r>
        <w:rPr>
          <w:rFonts w:eastAsia="仿宋_GB2312" w:hint="eastAsia"/>
          <w:sz w:val="32"/>
          <w:szCs w:val="32"/>
        </w:rPr>
        <w:t>，增长</w:t>
      </w:r>
      <w:r>
        <w:rPr>
          <w:rFonts w:eastAsia="仿宋_GB2312" w:hint="eastAsia"/>
          <w:sz w:val="32"/>
          <w:szCs w:val="32"/>
          <w:lang w:val="en-US" w:eastAsia="zh-CN"/>
        </w:rPr>
        <w:t>29.90</w:t>
      </w:r>
      <w:r>
        <w:rPr>
          <w:rFonts w:eastAsia="仿宋_GB2312" w:hint="eastAsia"/>
          <w:sz w:val="32"/>
          <w:szCs w:val="32"/>
        </w:rPr>
        <w:t>%。</w:t>
      </w:r>
      <w:r>
        <w:rPr>
          <w:rFonts w:eastAsia="仿宋_GB2312"/>
          <w:sz w:val="32"/>
          <w:szCs w:val="32"/>
        </w:rPr>
        <w:t>其中</w:t>
      </w:r>
      <w:r>
        <w:rPr>
          <w:rFonts w:eastAsia="仿宋_GB2312" w:hint="eastAsia"/>
          <w:sz w:val="32"/>
          <w:szCs w:val="32"/>
        </w:rPr>
        <w:t>：</w:t>
      </w:r>
      <w:r>
        <w:rPr>
          <w:rFonts w:eastAsia="仿宋_GB2312"/>
          <w:sz w:val="32"/>
          <w:szCs w:val="32"/>
        </w:rPr>
        <w:t>人员支出</w:t>
      </w:r>
      <w:r>
        <w:rPr>
          <w:rFonts w:eastAsia="仿宋_GB2312" w:hint="eastAsia"/>
          <w:sz w:val="32"/>
          <w:szCs w:val="32"/>
          <w:lang w:val="en-US" w:eastAsia="zh-CN"/>
        </w:rPr>
        <w:t>206.53万元</w:t>
      </w:r>
      <w:r>
        <w:rPr>
          <w:rFonts w:eastAsia="仿宋_GB2312"/>
          <w:sz w:val="32"/>
          <w:szCs w:val="32"/>
        </w:rPr>
        <w:t>，比上年增加</w:t>
      </w:r>
      <w:r>
        <w:rPr>
          <w:rFonts w:eastAsia="仿宋_GB2312" w:hint="eastAsia"/>
          <w:sz w:val="32"/>
          <w:szCs w:val="32"/>
          <w:lang w:val="en-US" w:eastAsia="zh-CN"/>
        </w:rPr>
        <w:t>47.97万</w:t>
      </w:r>
      <w:r>
        <w:rPr>
          <w:rFonts w:eastAsia="仿宋_GB2312"/>
          <w:sz w:val="32"/>
          <w:szCs w:val="32"/>
        </w:rPr>
        <w:t>元，</w:t>
      </w:r>
      <w:r>
        <w:rPr>
          <w:rFonts w:eastAsia="仿宋_GB2312" w:hint="eastAsia"/>
          <w:color w:val="000000"/>
          <w:sz w:val="32"/>
          <w:szCs w:val="32"/>
        </w:rPr>
        <w:t>差异原因</w:t>
      </w:r>
      <w:r>
        <w:rPr>
          <w:rFonts w:eastAsia="仿宋_GB2312" w:hint="eastAsia"/>
          <w:sz w:val="32"/>
          <w:szCs w:val="32"/>
        </w:rPr>
        <w:t>是</w:t>
      </w:r>
      <w:r>
        <w:rPr>
          <w:rFonts w:eastAsia="仿宋_GB2312" w:hint="eastAsia"/>
          <w:sz w:val="32"/>
          <w:szCs w:val="32"/>
          <w:lang w:val="en-US" w:eastAsia="zh-CN"/>
        </w:rPr>
        <w:t>增加2人行政人人员经费</w:t>
      </w:r>
      <w:r>
        <w:rPr>
          <w:rFonts w:eastAsia="仿宋_GB2312" w:hint="eastAsia"/>
          <w:sz w:val="32"/>
          <w:szCs w:val="32"/>
          <w:lang w:eastAsia="zh-CN"/>
        </w:rPr>
        <w:t>（</w:t>
      </w:r>
      <w:r>
        <w:rPr>
          <w:rFonts w:eastAsia="仿宋_GB2312" w:hint="eastAsia"/>
          <w:sz w:val="32"/>
          <w:szCs w:val="32"/>
          <w:lang w:val="en-US" w:eastAsia="zh-CN"/>
        </w:rPr>
        <w:t>调入3人，调出1人</w:t>
      </w:r>
      <w:r>
        <w:rPr>
          <w:rFonts w:eastAsia="仿宋_GB2312" w:hint="eastAsia"/>
          <w:sz w:val="32"/>
          <w:szCs w:val="32"/>
          <w:lang w:eastAsia="zh-CN"/>
        </w:rPr>
        <w:t>）；</w:t>
      </w:r>
      <w:r>
        <w:rPr>
          <w:rFonts w:eastAsia="仿宋_GB2312"/>
          <w:sz w:val="32"/>
          <w:szCs w:val="32"/>
        </w:rPr>
        <w:t>公用经费</w:t>
      </w:r>
      <w:r>
        <w:rPr>
          <w:rFonts w:eastAsia="仿宋_GB2312" w:hint="eastAsia"/>
          <w:sz w:val="32"/>
          <w:szCs w:val="32"/>
          <w:lang w:val="en-US" w:eastAsia="zh-CN"/>
        </w:rPr>
        <w:t>31.36万</w:t>
      </w:r>
      <w:r>
        <w:rPr>
          <w:rFonts w:eastAsia="仿宋_GB2312"/>
          <w:sz w:val="32"/>
          <w:szCs w:val="32"/>
        </w:rPr>
        <w:t>元</w:t>
      </w:r>
      <w:r>
        <w:rPr>
          <w:rFonts w:eastAsia="仿宋_GB2312" w:hint="eastAsia"/>
          <w:sz w:val="32"/>
          <w:szCs w:val="32"/>
        </w:rPr>
        <w:t>，</w:t>
      </w:r>
      <w:r>
        <w:rPr>
          <w:rFonts w:eastAsia="仿宋_GB2312"/>
          <w:sz w:val="32"/>
          <w:szCs w:val="32"/>
        </w:rPr>
        <w:t>比上年</w:t>
      </w:r>
      <w:r>
        <w:rPr>
          <w:rFonts w:eastAsia="仿宋_GB2312" w:hint="eastAsia"/>
          <w:sz w:val="32"/>
          <w:szCs w:val="32"/>
          <w:lang w:val="en-US" w:eastAsia="zh-CN"/>
        </w:rPr>
        <w:t>增加5.12万</w:t>
      </w:r>
      <w:r>
        <w:rPr>
          <w:rFonts w:eastAsia="仿宋_GB2312"/>
          <w:sz w:val="32"/>
          <w:szCs w:val="32"/>
        </w:rPr>
        <w:t>元，</w:t>
      </w:r>
      <w:r>
        <w:rPr>
          <w:rFonts w:eastAsia="仿宋_GB2312" w:hint="eastAsia"/>
          <w:sz w:val="32"/>
          <w:szCs w:val="32"/>
        </w:rPr>
        <w:t>差异原因是</w:t>
      </w:r>
      <w:r>
        <w:rPr>
          <w:rFonts w:eastAsia="仿宋_GB2312" w:hint="eastAsia"/>
          <w:sz w:val="32"/>
          <w:szCs w:val="32"/>
          <w:lang w:val="en-US" w:eastAsia="zh-CN"/>
        </w:rPr>
        <w:t>增加2人行政人员公用经费</w:t>
      </w:r>
      <w:r>
        <w:rPr>
          <w:rFonts w:eastAsia="仿宋_GB2312" w:hint="eastAsia"/>
          <w:sz w:val="32"/>
          <w:szCs w:val="32"/>
          <w:lang w:eastAsia="zh-CN"/>
        </w:rPr>
        <w:t>（</w:t>
      </w:r>
      <w:r>
        <w:rPr>
          <w:rFonts w:eastAsia="仿宋_GB2312" w:hint="eastAsia"/>
          <w:sz w:val="32"/>
          <w:szCs w:val="32"/>
          <w:lang w:val="en-US" w:eastAsia="zh-CN"/>
        </w:rPr>
        <w:t>调入3人，调出1人</w:t>
      </w:r>
      <w:r>
        <w:rPr>
          <w:rFonts w:eastAsia="仿宋_GB2312" w:hint="eastAsia"/>
          <w:sz w:val="32"/>
          <w:szCs w:val="32"/>
          <w:lang w:eastAsia="zh-CN"/>
        </w:rPr>
        <w:t>）；</w:t>
      </w:r>
      <w:r>
        <w:rPr>
          <w:rFonts w:eastAsia="仿宋_GB2312"/>
          <w:sz w:val="32"/>
          <w:szCs w:val="32"/>
        </w:rPr>
        <w:t>项目支出</w:t>
      </w:r>
      <w:r>
        <w:rPr>
          <w:rFonts w:eastAsia="仿宋_GB2312" w:hint="eastAsia"/>
          <w:sz w:val="32"/>
          <w:szCs w:val="32"/>
          <w:lang w:val="en-US" w:eastAsia="zh-CN"/>
        </w:rPr>
        <w:t>56.89万</w:t>
      </w:r>
      <w:r>
        <w:rPr>
          <w:rFonts w:eastAsia="仿宋_GB2312"/>
          <w:sz w:val="32"/>
          <w:szCs w:val="32"/>
        </w:rPr>
        <w:t>元，比上年</w:t>
      </w:r>
      <w:r>
        <w:rPr>
          <w:rFonts w:eastAsia="仿宋_GB2312" w:hint="eastAsia"/>
          <w:sz w:val="32"/>
          <w:szCs w:val="32"/>
          <w:lang w:val="en-US" w:eastAsia="zh-CN"/>
        </w:rPr>
        <w:t>减少1.08万</w:t>
      </w:r>
      <w:r>
        <w:rPr>
          <w:rFonts w:eastAsia="仿宋_GB2312"/>
          <w:sz w:val="32"/>
          <w:szCs w:val="32"/>
        </w:rPr>
        <w:t>元，</w:t>
      </w:r>
      <w:r>
        <w:rPr>
          <w:rFonts w:eastAsia="仿宋_GB2312" w:hint="eastAsia"/>
          <w:sz w:val="32"/>
          <w:szCs w:val="32"/>
        </w:rPr>
        <w:t>差异</w:t>
      </w:r>
      <w:r>
        <w:rPr>
          <w:rFonts w:eastAsia="仿宋_GB2312"/>
          <w:sz w:val="32"/>
          <w:szCs w:val="32"/>
        </w:rPr>
        <w:t>原因</w:t>
      </w:r>
      <w:r>
        <w:rPr>
          <w:rFonts w:eastAsia="仿宋_GB2312" w:hint="eastAsia"/>
          <w:sz w:val="32"/>
          <w:szCs w:val="32"/>
          <w:lang w:val="en-US" w:eastAsia="zh-CN"/>
        </w:rPr>
        <w:t>是品叠名项支出后的结果</w:t>
      </w:r>
      <w:r>
        <w:rPr>
          <w:rFonts w:eastAsia="仿宋_GB2312"/>
          <w:sz w:val="32"/>
          <w:szCs w:val="32"/>
        </w:rPr>
        <w:t>：</w:t>
      </w:r>
      <w:r>
        <w:rPr>
          <w:rFonts w:eastAsia="仿宋_GB2312"/>
          <w:sz w:val="32"/>
          <w:szCs w:val="32"/>
          <w:lang w:val="en-US" w:eastAsia="zh-CN"/>
        </w:rPr>
        <w:t>一是</w:t>
      </w:r>
      <w:r>
        <w:rPr>
          <w:rFonts w:eastAsia="仿宋_GB2312"/>
          <w:sz w:val="32"/>
          <w:szCs w:val="32"/>
        </w:rPr>
        <w:t>一般行政管理事务</w:t>
      </w:r>
      <w:r>
        <w:rPr>
          <w:rFonts w:eastAsia="仿宋_GB2312" w:hint="eastAsia"/>
          <w:sz w:val="32"/>
          <w:szCs w:val="32"/>
        </w:rPr>
        <w:t>支出</w:t>
      </w:r>
      <w:r>
        <w:rPr>
          <w:rFonts w:eastAsia="仿宋_GB2312" w:hint="eastAsia"/>
          <w:sz w:val="32"/>
          <w:szCs w:val="32"/>
          <w:lang w:val="en-US" w:eastAsia="zh-CN"/>
        </w:rPr>
        <w:t>5.16万元，较上年减少11.04万元</w:t>
      </w:r>
      <w:r>
        <w:rPr>
          <w:rFonts w:eastAsia="仿宋_GB2312"/>
          <w:sz w:val="32"/>
          <w:szCs w:val="32"/>
          <w:lang w:val="en-US" w:eastAsia="zh-CN"/>
        </w:rPr>
        <w:t>；二是</w:t>
      </w:r>
      <w:r>
        <w:rPr>
          <w:rFonts w:eastAsia="仿宋_GB2312" w:hint="eastAsia"/>
          <w:sz w:val="32"/>
          <w:szCs w:val="32"/>
          <w:lang w:val="en-US" w:eastAsia="zh-CN"/>
        </w:rPr>
        <w:t>增加招商引资经费19.69万元</w:t>
      </w:r>
      <w:r>
        <w:rPr>
          <w:rFonts w:eastAsia="仿宋_GB2312"/>
          <w:sz w:val="32"/>
          <w:szCs w:val="32"/>
          <w:lang w:val="en-US" w:eastAsia="zh-CN"/>
        </w:rPr>
        <w:t>；</w:t>
      </w:r>
      <w:r>
        <w:rPr>
          <w:rFonts w:eastAsia="仿宋_GB2312" w:hint="eastAsia"/>
          <w:sz w:val="32"/>
          <w:szCs w:val="32"/>
          <w:lang w:val="en-US" w:eastAsia="zh-CN"/>
        </w:rPr>
        <w:t>三</w:t>
      </w:r>
      <w:r>
        <w:rPr>
          <w:rFonts w:eastAsia="仿宋_GB2312"/>
          <w:sz w:val="32"/>
          <w:szCs w:val="32"/>
          <w:lang w:val="en-US" w:eastAsia="zh-CN"/>
        </w:rPr>
        <w:t>是</w:t>
      </w:r>
      <w:r>
        <w:rPr>
          <w:rFonts w:eastAsia="仿宋_GB2312"/>
          <w:sz w:val="32"/>
          <w:szCs w:val="32"/>
        </w:rPr>
        <w:t>儿童福利费（关工委经费）</w:t>
      </w:r>
      <w:r>
        <w:rPr>
          <w:rFonts w:eastAsia="仿宋_GB2312" w:hint="eastAsia"/>
          <w:sz w:val="32"/>
          <w:szCs w:val="32"/>
          <w:lang w:val="en-US" w:eastAsia="zh-CN"/>
        </w:rPr>
        <w:t>0.2万</w:t>
      </w:r>
      <w:r>
        <w:rPr>
          <w:rFonts w:eastAsia="仿宋_GB2312"/>
          <w:sz w:val="32"/>
          <w:szCs w:val="32"/>
        </w:rPr>
        <w:t>元</w:t>
      </w:r>
      <w:r>
        <w:rPr>
          <w:rFonts w:eastAsia="仿宋_GB2312" w:hint="eastAsia"/>
          <w:sz w:val="32"/>
          <w:szCs w:val="32"/>
          <w:lang w:eastAsia="zh-CN"/>
        </w:rPr>
        <w:t>，</w:t>
      </w:r>
      <w:r>
        <w:rPr>
          <w:rFonts w:eastAsia="仿宋_GB2312" w:hint="eastAsia"/>
          <w:sz w:val="32"/>
          <w:szCs w:val="32"/>
          <w:lang w:val="en-US" w:eastAsia="zh-CN"/>
        </w:rPr>
        <w:t>较上年减少0.35万元</w:t>
      </w:r>
      <w:r>
        <w:rPr>
          <w:rFonts w:eastAsia="仿宋_GB2312"/>
          <w:sz w:val="32"/>
          <w:szCs w:val="32"/>
          <w:lang w:val="en-US" w:eastAsia="zh-CN"/>
        </w:rPr>
        <w:t>；</w:t>
      </w:r>
      <w:r>
        <w:rPr>
          <w:rFonts w:eastAsia="仿宋_GB2312" w:hint="eastAsia"/>
          <w:sz w:val="32"/>
          <w:szCs w:val="32"/>
          <w:lang w:val="en-US" w:eastAsia="zh-CN"/>
        </w:rPr>
        <w:t>四</w:t>
      </w:r>
      <w:r>
        <w:rPr>
          <w:rFonts w:eastAsia="仿宋_GB2312"/>
          <w:sz w:val="32"/>
          <w:szCs w:val="32"/>
          <w:lang w:val="en-US" w:eastAsia="zh-CN"/>
        </w:rPr>
        <w:t>是</w:t>
      </w:r>
      <w:r>
        <w:rPr>
          <w:rFonts w:eastAsia="仿宋_GB2312" w:hint="eastAsia"/>
          <w:sz w:val="32"/>
          <w:szCs w:val="32"/>
          <w:lang w:val="en-US" w:eastAsia="zh-CN"/>
        </w:rPr>
        <w:t>其他组织事务6.85万元，较上年减少0.57万元</w:t>
      </w:r>
      <w:r>
        <w:rPr>
          <w:rFonts w:eastAsia="仿宋_GB2312"/>
          <w:sz w:val="32"/>
          <w:szCs w:val="32"/>
          <w:lang w:val="en-US" w:eastAsia="zh-CN"/>
        </w:rPr>
        <w:t>；</w:t>
      </w:r>
      <w:r>
        <w:rPr>
          <w:rFonts w:eastAsia="仿宋_GB2312" w:hint="eastAsia"/>
          <w:sz w:val="32"/>
          <w:szCs w:val="32"/>
          <w:lang w:val="en-US" w:eastAsia="zh-CN"/>
        </w:rPr>
        <w:t>五</w:t>
      </w:r>
      <w:r>
        <w:rPr>
          <w:rFonts w:eastAsia="仿宋_GB2312"/>
          <w:sz w:val="32"/>
          <w:szCs w:val="32"/>
          <w:lang w:val="en-US" w:eastAsia="zh-CN"/>
        </w:rPr>
        <w:t>是</w:t>
      </w:r>
      <w:r>
        <w:rPr>
          <w:rFonts w:eastAsia="仿宋_GB2312" w:hint="eastAsia"/>
          <w:sz w:val="32"/>
          <w:szCs w:val="32"/>
          <w:lang w:val="en-US" w:eastAsia="zh-CN"/>
        </w:rPr>
        <w:t>金融部门监管支出24.99万元，较上年金融部门其他行政支出减少8.81万元。</w:t>
      </w:r>
    </w:p>
    <w:p>
      <w:pPr>
        <w:pStyle w:val="15"/>
        <w:adjustRightInd w:val="0"/>
        <w:snapToGrid w:val="0"/>
        <w:spacing w:beforeLines="0" w:before="0" w:line="353" w:lineRule="auto"/>
        <w:rPr>
          <w:rStyle w:val="27"/>
          <w:rFonts w:ascii="黑体" w:eastAsia="黑体"/>
          <w:b w:val="0"/>
          <w:color w:val="auto"/>
        </w:rPr>
      </w:pPr>
      <w:r>
        <w:drawing>
          <wp:anchor distT="0" distB="0" distL="114300" distR="114300" simplePos="0" relativeHeight="27" behindDoc="0" locked="0" layoutInCell="1" hidden="0" allowOverlap="1">
            <wp:simplePos x="0" y="0"/>
            <wp:positionH relativeFrom="column">
              <wp:posOffset>-635</wp:posOffset>
            </wp:positionH>
            <wp:positionV relativeFrom="paragraph">
              <wp:posOffset>-50165</wp:posOffset>
            </wp:positionV>
            <wp:extent cx="5181600" cy="2705100"/>
            <wp:effectExtent l="0" t="0" r="16" b="42"/>
            <wp:wrapSquare wrapText="bothSides"/>
            <wp:docPr id="4" name="图表 4"/>
            <wp:cNvGraphicFramePr>
              <a:graphicFrameLocks noChangeAspect="1"/>
            </wp:cNvGraphicFramePr>
            <a:graphic>
              <a:graphicData uri="http://schemas.openxmlformats.org/drawingml/2006/picture">
                <pic:pic>
                  <pic:nvPicPr>
                    <pic:cNvPr id="6" name="图表 4 6"/>
                    <pic:cNvPicPr/>
                  </pic:nvPicPr>
                  <pic:blipFill>
                    <a:blip r:embed="rId11"/>
                    <a:stretch>
                      <a:fillRect/>
                    </a:stretch>
                  </pic:blipFill>
                  <pic:spPr>
                    <a:xfrm rot="0">
                      <a:off x="0" y="0"/>
                      <a:ext cx="5181600" cy="2705100"/>
                    </a:xfrm>
                    <a:prstGeom prst="rect"/>
                    <a:noFill/>
                    <a:ln w="9525" cmpd="sng" cap="flat">
                      <a:noFill/>
                      <a:prstDash val="solid"/>
                      <a:round/>
                    </a:ln>
                  </pic:spPr>
                </pic:pic>
              </a:graphicData>
            </a:graphic>
          </wp:anchor>
        </w:drawing>
      </w:r>
      <w:r>
        <w:rPr>
          <w:rFonts w:hint="eastAsia"/>
          <w:lang w:val="en-US" w:eastAsia="zh-CN"/>
        </w:rPr>
        <w:t xml:space="preserve">     </w:t>
      </w:r>
      <w:r>
        <w:rPr>
          <w:rFonts w:ascii="黑体" w:eastAsia="黑体" w:hint="eastAsia"/>
          <w:color w:val="auto"/>
          <w:sz w:val="32"/>
          <w:szCs w:val="32"/>
        </w:rPr>
        <w:t>五、</w:t>
      </w:r>
      <w:r>
        <w:rPr>
          <w:rFonts w:ascii="黑体" w:eastAsia="黑体" w:hint="eastAsia"/>
          <w:b/>
          <w:color w:val="auto"/>
          <w:sz w:val="32"/>
          <w:szCs w:val="32"/>
        </w:rPr>
        <w:t>一</w:t>
      </w:r>
      <w:r>
        <w:rPr>
          <w:rStyle w:val="27"/>
          <w:rFonts w:ascii="黑体" w:eastAsia="黑体" w:hint="eastAsia"/>
          <w:b w:val="0"/>
          <w:color w:val="auto"/>
        </w:rPr>
        <w:t>般公共预算财政拨款支出决算情况说明</w:t>
      </w:r>
    </w:p>
    <w:p>
      <w:pPr>
        <w:adjustRightInd w:val="0"/>
        <w:snapToGrid w:val="0"/>
        <w:spacing w:line="353" w:lineRule="auto"/>
        <w:ind w:firstLineChars="200" w:firstLine="640"/>
        <w:outlineLvl w:val="2"/>
        <w:rPr>
          <w:rFonts w:ascii="仿宋" w:eastAsia="仿宋"/>
          <w:b/>
          <w:color w:val="auto"/>
          <w:sz w:val="32"/>
          <w:szCs w:val="32"/>
        </w:rPr>
      </w:pPr>
      <w:r>
        <w:rPr>
          <w:rFonts w:ascii="仿宋" w:eastAsia="仿宋" w:hint="eastAsia"/>
          <w:b/>
          <w:color w:val="auto"/>
          <w:sz w:val="32"/>
          <w:szCs w:val="32"/>
        </w:rPr>
        <w:t>（一）一般公共预算财政拨款支出决算总体情况</w:t>
      </w:r>
    </w:p>
    <w:p>
      <w:pPr>
        <w:adjustRightInd w:val="0"/>
        <w:snapToGrid w:val="0"/>
        <w:spacing w:line="353" w:lineRule="auto"/>
        <w:ind w:firstLineChars="200" w:firstLine="640"/>
        <w:rPr>
          <w:rFonts w:eastAsia="仿宋_GB2312" w:hint="eastAsia"/>
          <w:sz w:val="32"/>
          <w:szCs w:val="32"/>
        </w:rPr>
      </w:pPr>
      <w:r>
        <w:rPr>
          <w:rFonts w:eastAsia="仿宋_GB2312" w:hint="eastAsia"/>
          <w:sz w:val="32"/>
          <w:szCs w:val="32"/>
        </w:rPr>
        <w:t>2021年一般公共预算财政拨款支出294.78万元，占本年支出合计的100%。与2020年相比，一般公共预算财政拨款增加53.68万元，增长22.26%</w:t>
      </w:r>
      <w:r>
        <w:rPr>
          <w:rFonts w:eastAsia="仿宋_GB2312"/>
          <w:sz w:val="32"/>
          <w:szCs w:val="32"/>
        </w:rPr>
        <w:t>；</w:t>
      </w:r>
      <w:r>
        <w:rPr>
          <w:rFonts w:eastAsia="仿宋_GB2312" w:hint="eastAsia"/>
          <w:sz w:val="32"/>
          <w:szCs w:val="32"/>
        </w:rPr>
        <w:t>无政府性基金预算财政拨款收入，差异原因是增加2人基本支出（调入3人，调出1人）。</w:t>
      </w:r>
    </w:p>
    <w:p>
      <w:pPr>
        <w:pStyle w:val="15"/>
        <w:adjustRightInd w:val="0"/>
        <w:snapToGrid w:val="0"/>
        <w:spacing w:beforeLines="0" w:before="0" w:line="353" w:lineRule="auto"/>
        <w:rPr>
          <w:rFonts w:hint="eastAsia"/>
        </w:rPr>
      </w:pPr>
      <w:r>
        <w:drawing>
          <wp:inline distT="0" distB="0" distL="114300" distR="114300">
            <wp:extent cx="4572000" cy="2743200"/>
            <wp:effectExtent l="0" t="0" r="0" b="0"/>
            <wp:docPr id="7" name="图表 14"/>
            <wp:cNvGraphicFramePr>
              <a:graphicFrameLocks noChangeAspect="1"/>
            </wp:cNvGraphicFramePr>
            <a:graphic>
              <a:graphicData uri="http://schemas.openxmlformats.org/drawingml/2006/chart">
                <c:chart xmlns:c="http://schemas.openxmlformats.org/drawingml/2006/chart" r:id="rId12"/>
              </a:graphicData>
            </a:graphic>
          </wp:inline>
        </w:drawing>
      </w:r>
    </w:p>
    <w:p>
      <w:pPr>
        <w:adjustRightInd w:val="0"/>
        <w:snapToGrid w:val="0"/>
        <w:spacing w:line="353" w:lineRule="auto"/>
        <w:ind w:firstLineChars="200" w:firstLine="640"/>
        <w:rPr>
          <w:rFonts w:eastAsia="仿宋_GB2312"/>
          <w:color w:val="auto"/>
          <w:sz w:val="32"/>
          <w:szCs w:val="32"/>
        </w:rPr>
      </w:pPr>
    </w:p>
    <w:p>
      <w:pPr>
        <w:adjustRightInd w:val="0"/>
        <w:snapToGrid w:val="0"/>
        <w:spacing w:line="353" w:lineRule="auto"/>
        <w:ind w:left="0" w:firstLineChars="100" w:firstLine="320"/>
        <w:outlineLvl w:val="2"/>
        <w:rPr>
          <w:rFonts w:ascii="仿宋" w:eastAsia="仿宋"/>
          <w:b/>
          <w:color w:val="auto"/>
          <w:sz w:val="32"/>
          <w:szCs w:val="32"/>
        </w:rPr>
      </w:pPr>
      <w:r>
        <w:rPr>
          <w:rFonts w:ascii="仿宋" w:eastAsia="仿宋" w:hint="eastAsia"/>
          <w:b/>
          <w:color w:val="auto"/>
          <w:sz w:val="32"/>
          <w:szCs w:val="32"/>
        </w:rPr>
        <w:t>（二）一般公共预算财政拨款支出决算结构情况</w:t>
      </w:r>
    </w:p>
    <w:p>
      <w:pPr>
        <w:adjustRightInd w:val="0"/>
        <w:snapToGrid w:val="0"/>
        <w:spacing w:line="353" w:lineRule="auto"/>
        <w:ind w:firstLineChars="200" w:firstLine="640"/>
        <w:outlineLvl w:val="1"/>
        <w:rPr>
          <w:rFonts w:eastAsia="仿宋_GB2312"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年一般公共预算财政拨款支出</w:t>
      </w:r>
      <w:r>
        <w:rPr>
          <w:rFonts w:eastAsia="仿宋_GB2312" w:hint="eastAsia"/>
          <w:sz w:val="32"/>
          <w:szCs w:val="32"/>
          <w:lang w:val="en-US" w:eastAsia="zh-CN"/>
        </w:rPr>
        <w:t>294.78</w:t>
      </w:r>
      <w:r>
        <w:rPr>
          <w:rFonts w:eastAsia="仿宋_GB2312" w:hint="eastAsia"/>
          <w:sz w:val="32"/>
          <w:szCs w:val="32"/>
        </w:rPr>
        <w:t>万元，主要用于以下方面:一般公共服务支出</w:t>
      </w:r>
      <w:r>
        <w:rPr>
          <w:rFonts w:eastAsia="仿宋_GB2312" w:hint="eastAsia"/>
          <w:sz w:val="32"/>
          <w:szCs w:val="32"/>
          <w:lang w:val="en-US" w:eastAsia="zh-CN"/>
        </w:rPr>
        <w:t>26.54</w:t>
      </w:r>
      <w:r>
        <w:rPr>
          <w:rFonts w:eastAsia="仿宋_GB2312" w:hint="eastAsia"/>
          <w:sz w:val="32"/>
          <w:szCs w:val="32"/>
        </w:rPr>
        <w:t>万元，占</w:t>
      </w:r>
      <w:r>
        <w:rPr>
          <w:rFonts w:eastAsia="仿宋_GB2312" w:hint="eastAsia"/>
          <w:sz w:val="32"/>
          <w:szCs w:val="32"/>
          <w:lang w:val="en-US" w:eastAsia="zh-CN"/>
        </w:rPr>
        <w:t>9</w:t>
      </w:r>
      <w:r>
        <w:rPr>
          <w:rFonts w:eastAsia="仿宋_GB2312" w:hint="eastAsia"/>
          <w:sz w:val="32"/>
          <w:szCs w:val="32"/>
        </w:rPr>
        <w:t>%，社会保障和就业支出</w:t>
      </w:r>
      <w:r>
        <w:rPr>
          <w:rFonts w:eastAsia="仿宋_GB2312" w:hint="eastAsia"/>
          <w:sz w:val="32"/>
          <w:szCs w:val="32"/>
          <w:lang w:val="en-US" w:eastAsia="zh-CN"/>
        </w:rPr>
        <w:t>18.49</w:t>
      </w:r>
      <w:r>
        <w:rPr>
          <w:rFonts w:eastAsia="仿宋_GB2312" w:hint="eastAsia"/>
          <w:sz w:val="32"/>
          <w:szCs w:val="32"/>
        </w:rPr>
        <w:t>万元，占</w:t>
      </w:r>
      <w:r>
        <w:rPr>
          <w:rFonts w:eastAsia="仿宋_GB2312" w:hint="eastAsia"/>
          <w:sz w:val="32"/>
          <w:szCs w:val="32"/>
          <w:lang w:val="en-US" w:eastAsia="zh-CN"/>
        </w:rPr>
        <w:t>6.27</w:t>
      </w:r>
      <w:r>
        <w:rPr>
          <w:rFonts w:eastAsia="仿宋_GB2312" w:hint="eastAsia"/>
          <w:sz w:val="32"/>
          <w:szCs w:val="32"/>
        </w:rPr>
        <w:t>%，金融支出</w:t>
      </w:r>
      <w:r>
        <w:rPr>
          <w:rFonts w:eastAsia="仿宋_GB2312" w:hint="eastAsia"/>
          <w:sz w:val="32"/>
          <w:szCs w:val="32"/>
          <w:lang w:val="en-US" w:eastAsia="zh-CN"/>
        </w:rPr>
        <w:t>231.92</w:t>
      </w:r>
      <w:r>
        <w:rPr>
          <w:rFonts w:eastAsia="仿宋_GB2312" w:hint="eastAsia"/>
          <w:sz w:val="32"/>
          <w:szCs w:val="32"/>
        </w:rPr>
        <w:t>万元，占</w:t>
      </w:r>
      <w:r>
        <w:rPr>
          <w:rFonts w:eastAsia="仿宋_GB2312" w:hint="eastAsia"/>
          <w:sz w:val="32"/>
          <w:szCs w:val="32"/>
          <w:lang w:val="en-US" w:eastAsia="zh-CN"/>
        </w:rPr>
        <w:t>78.68</w:t>
      </w:r>
      <w:r>
        <w:rPr>
          <w:rFonts w:eastAsia="仿宋_GB2312" w:hint="eastAsia"/>
          <w:sz w:val="32"/>
          <w:szCs w:val="32"/>
        </w:rPr>
        <w:t>%，住房保障支出17.</w:t>
      </w:r>
      <w:r>
        <w:rPr>
          <w:rFonts w:eastAsia="仿宋_GB2312" w:hint="eastAsia"/>
          <w:sz w:val="32"/>
          <w:szCs w:val="32"/>
          <w:lang w:val="en-US" w:eastAsia="zh-CN"/>
        </w:rPr>
        <w:t>83</w:t>
      </w:r>
      <w:r>
        <w:rPr>
          <w:rFonts w:eastAsia="仿宋_GB2312" w:hint="eastAsia"/>
          <w:sz w:val="32"/>
          <w:szCs w:val="32"/>
        </w:rPr>
        <w:t>万元，占</w:t>
      </w:r>
      <w:r>
        <w:rPr>
          <w:rFonts w:eastAsia="仿宋_GB2312" w:hint="eastAsia"/>
          <w:sz w:val="32"/>
          <w:szCs w:val="32"/>
          <w:lang w:val="en-US" w:eastAsia="zh-CN"/>
        </w:rPr>
        <w:t>6.05</w:t>
      </w:r>
      <w:r>
        <w:rPr>
          <w:rFonts w:eastAsia="仿宋_GB2312" w:hint="eastAsia"/>
          <w:sz w:val="32"/>
          <w:szCs w:val="32"/>
        </w:rPr>
        <w:t>%。</w:t>
      </w:r>
    </w:p>
    <w:p>
      <w:pPr>
        <w:pStyle w:val="15"/>
        <w:adjustRightInd w:val="0"/>
        <w:snapToGrid w:val="0"/>
        <w:spacing w:beforeLines="0" w:before="0" w:line="353" w:lineRule="auto"/>
      </w:pPr>
      <w:r>
        <w:drawing>
          <wp:inline distT="0" distB="0" distL="114300" distR="114300">
            <wp:extent cx="4572000" cy="2743200"/>
            <wp:effectExtent l="0" t="0" r="0" b="0"/>
            <wp:docPr id="8" name="图表 15"/>
            <wp:cNvGraphicFramePr>
              <a:graphicFrameLocks noChangeAspect="1"/>
            </wp:cNvGraphicFramePr>
            <a:graphic>
              <a:graphicData uri="http://schemas.openxmlformats.org/drawingml/2006/chart">
                <c:chart xmlns:c="http://schemas.openxmlformats.org/drawingml/2006/chart" r:id="rId13"/>
              </a:graphicData>
            </a:graphic>
          </wp:inline>
        </w:drawing>
      </w:r>
    </w:p>
    <w:p>
      <w:pPr>
        <w:adjustRightInd w:val="0"/>
        <w:snapToGrid w:val="0"/>
        <w:spacing w:line="353" w:lineRule="auto"/>
        <w:ind w:firstLineChars="200" w:firstLine="640"/>
        <w:outlineLvl w:val="2"/>
        <w:rPr>
          <w:rFonts w:ascii="仿宋" w:eastAsia="仿宋"/>
          <w:b/>
          <w:color w:val="auto"/>
          <w:sz w:val="32"/>
          <w:szCs w:val="32"/>
        </w:rPr>
      </w:pPr>
      <w:bookmarkStart w:id="21" w:name="_Toc15396602"/>
      <w:bookmarkStart w:id="22" w:name="_Toc15377204"/>
      <w:r>
        <w:rPr>
          <w:rFonts w:ascii="仿宋" w:eastAsia="仿宋" w:hint="eastAsia"/>
          <w:b/>
          <w:color w:val="auto"/>
          <w:sz w:val="32"/>
          <w:szCs w:val="32"/>
        </w:rPr>
        <w:t>（三）一般公共预算财政拨款支出决算具体情况</w:t>
      </w:r>
    </w:p>
    <w:p>
      <w:pPr>
        <w:adjustRightInd w:val="0"/>
        <w:snapToGrid w:val="0"/>
        <w:spacing w:line="353" w:lineRule="auto"/>
        <w:ind w:firstLineChars="200" w:firstLine="640"/>
        <w:outlineLvl w:val="1"/>
        <w:rPr>
          <w:rFonts w:eastAsia="仿宋_GB2312"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年一般公共预算支出决算数为</w:t>
      </w:r>
      <w:r>
        <w:rPr>
          <w:rFonts w:eastAsia="仿宋_GB2312" w:hint="eastAsia"/>
          <w:sz w:val="32"/>
          <w:szCs w:val="32"/>
          <w:lang w:val="en-US" w:eastAsia="zh-CN"/>
        </w:rPr>
        <w:t>294.78</w:t>
      </w:r>
      <w:r>
        <w:rPr>
          <w:rFonts w:eastAsia="仿宋_GB2312" w:hint="eastAsia"/>
          <w:sz w:val="32"/>
          <w:szCs w:val="32"/>
        </w:rPr>
        <w:t>万元，完成预算100%。</w:t>
      </w:r>
      <w:r>
        <w:rPr>
          <w:rFonts w:eastAsia="仿宋_GB2312" w:hint="eastAsia"/>
          <w:sz w:val="32"/>
          <w:szCs w:val="32"/>
          <w:lang w:val="en-US" w:eastAsia="zh-CN"/>
        </w:rPr>
        <w:t>具体如下</w:t>
      </w:r>
      <w:r>
        <w:rPr>
          <w:rFonts w:eastAsia="仿宋_GB2312" w:hint="eastAsia"/>
          <w:sz w:val="32"/>
          <w:szCs w:val="32"/>
        </w:rPr>
        <w:t>：</w:t>
      </w:r>
    </w:p>
    <w:p>
      <w:pPr>
        <w:adjustRightInd w:val="0"/>
        <w:snapToGrid w:val="0"/>
        <w:spacing w:line="353" w:lineRule="auto"/>
        <w:ind w:firstLineChars="200" w:firstLine="640"/>
        <w:outlineLvl w:val="1"/>
        <w:rPr>
          <w:rFonts w:eastAsia="仿宋_GB2312" w:hint="eastAsia"/>
          <w:sz w:val="32"/>
          <w:szCs w:val="32"/>
        </w:rPr>
      </w:pPr>
      <w:r>
        <w:rPr>
          <w:rFonts w:eastAsia="仿宋_GB2312" w:hint="eastAsia"/>
          <w:sz w:val="32"/>
          <w:szCs w:val="32"/>
        </w:rPr>
        <w:t>1.一般公共服务支出</w:t>
      </w:r>
      <w:r>
        <w:rPr>
          <w:rFonts w:eastAsia="仿宋_GB2312" w:hint="eastAsia"/>
          <w:sz w:val="32"/>
          <w:szCs w:val="32"/>
          <w:lang w:val="en-US" w:eastAsia="zh-CN"/>
        </w:rPr>
        <w:t>26.54</w:t>
      </w:r>
      <w:r>
        <w:rPr>
          <w:rFonts w:eastAsia="仿宋_GB2312" w:hint="eastAsia"/>
          <w:sz w:val="32"/>
          <w:szCs w:val="32"/>
        </w:rPr>
        <w:t>万元，其中：</w:t>
      </w:r>
      <w:r>
        <w:rPr>
          <w:rFonts w:eastAsia="仿宋_GB2312" w:hint="eastAsia"/>
          <w:sz w:val="32"/>
          <w:szCs w:val="32"/>
          <w:lang w:val="en-US" w:eastAsia="zh-CN"/>
        </w:rPr>
        <w:t>一般公共服务</w:t>
      </w:r>
      <w:r>
        <w:rPr>
          <w:rFonts w:eastAsia="仿宋_GB2312" w:hint="eastAsia"/>
          <w:sz w:val="32"/>
          <w:szCs w:val="32"/>
        </w:rPr>
        <w:t>支出（类）201（款）</w:t>
      </w:r>
      <w:r>
        <w:rPr>
          <w:rFonts w:eastAsia="仿宋_GB2312" w:hint="eastAsia"/>
          <w:sz w:val="32"/>
          <w:szCs w:val="32"/>
          <w:lang w:val="en-US" w:eastAsia="zh-CN"/>
        </w:rPr>
        <w:t>13</w:t>
      </w:r>
      <w:r>
        <w:rPr>
          <w:rFonts w:eastAsia="仿宋_GB2312" w:hint="eastAsia"/>
          <w:sz w:val="32"/>
          <w:szCs w:val="32"/>
        </w:rPr>
        <w:t>（项）</w:t>
      </w:r>
      <w:r>
        <w:rPr>
          <w:rFonts w:eastAsia="仿宋_GB2312" w:hint="eastAsia"/>
          <w:sz w:val="32"/>
          <w:szCs w:val="32"/>
          <w:lang w:val="en-US" w:eastAsia="zh-CN"/>
        </w:rPr>
        <w:t>08招商引资决算数为19.69万元</w:t>
      </w:r>
      <w:r>
        <w:rPr>
          <w:rFonts w:eastAsia="仿宋_GB2312"/>
          <w:sz w:val="32"/>
          <w:szCs w:val="32"/>
          <w:lang w:val="en-US" w:eastAsia="zh-CN"/>
        </w:rPr>
        <w:t>；</w:t>
      </w:r>
      <w:r>
        <w:rPr>
          <w:rFonts w:eastAsia="仿宋_GB2312" w:hint="eastAsia"/>
          <w:sz w:val="32"/>
          <w:szCs w:val="32"/>
        </w:rPr>
        <w:t>一般公共服务支出（类）201（款）32（项）99，</w:t>
      </w:r>
      <w:r>
        <w:rPr>
          <w:rFonts w:eastAsia="仿宋_GB2312" w:hint="eastAsia"/>
          <w:sz w:val="32"/>
          <w:szCs w:val="32"/>
          <w:lang w:val="en-US" w:eastAsia="zh-CN"/>
        </w:rPr>
        <w:t>其他组织事务支出6.85</w:t>
      </w:r>
      <w:r>
        <w:rPr>
          <w:rFonts w:eastAsia="仿宋_GB2312" w:hint="eastAsia"/>
          <w:sz w:val="32"/>
          <w:szCs w:val="32"/>
        </w:rPr>
        <w:t>万元。完成预算100%。</w:t>
      </w:r>
    </w:p>
    <w:p>
      <w:pPr>
        <w:adjustRightInd w:val="0"/>
        <w:snapToGrid w:val="0"/>
        <w:spacing w:line="353" w:lineRule="auto"/>
        <w:ind w:firstLineChars="200" w:firstLine="640"/>
        <w:outlineLvl w:val="1"/>
        <w:rPr>
          <w:rFonts w:eastAsia="仿宋_GB2312" w:hint="eastAsia"/>
          <w:sz w:val="32"/>
          <w:szCs w:val="32"/>
        </w:rPr>
      </w:pPr>
      <w:r>
        <w:rPr>
          <w:rFonts w:eastAsia="仿宋_GB2312" w:hint="eastAsia"/>
          <w:sz w:val="32"/>
          <w:szCs w:val="32"/>
        </w:rPr>
        <w:t>2.社会保障和就业支出</w:t>
      </w:r>
      <w:r>
        <w:rPr>
          <w:rFonts w:eastAsia="仿宋_GB2312" w:hint="eastAsia"/>
          <w:sz w:val="32"/>
          <w:szCs w:val="32"/>
          <w:lang w:val="en-US" w:eastAsia="zh-CN"/>
        </w:rPr>
        <w:t>18.49</w:t>
      </w:r>
      <w:r>
        <w:rPr>
          <w:rFonts w:eastAsia="仿宋_GB2312" w:hint="eastAsia"/>
          <w:sz w:val="32"/>
          <w:szCs w:val="32"/>
        </w:rPr>
        <w:t>万元，其中：社会保障和就业支出（类）208（款）0</w:t>
      </w:r>
      <w:r>
        <w:rPr>
          <w:rFonts w:eastAsia="仿宋_GB2312" w:hint="eastAsia"/>
          <w:sz w:val="32"/>
          <w:szCs w:val="32"/>
          <w:lang w:val="en-US" w:eastAsia="zh-CN"/>
        </w:rPr>
        <w:t>1</w:t>
      </w:r>
      <w:r>
        <w:rPr>
          <w:rFonts w:eastAsia="仿宋_GB2312" w:hint="eastAsia"/>
          <w:sz w:val="32"/>
          <w:szCs w:val="32"/>
        </w:rPr>
        <w:t>（项）</w:t>
      </w:r>
      <w:r>
        <w:rPr>
          <w:rFonts w:eastAsia="仿宋_GB2312" w:hint="eastAsia"/>
          <w:sz w:val="32"/>
          <w:szCs w:val="32"/>
          <w:lang w:val="en-US" w:eastAsia="zh-CN"/>
        </w:rPr>
        <w:t>99其他人力资源和社会保障管理事务支出4万元</w:t>
      </w:r>
      <w:r>
        <w:rPr>
          <w:rFonts w:eastAsia="仿宋_GB2312"/>
          <w:sz w:val="32"/>
          <w:szCs w:val="32"/>
          <w:lang w:val="en-US" w:eastAsia="zh-CN"/>
        </w:rPr>
        <w:t>；</w:t>
      </w:r>
      <w:r>
        <w:rPr>
          <w:rFonts w:eastAsia="仿宋_GB2312" w:hint="eastAsia"/>
          <w:sz w:val="32"/>
          <w:szCs w:val="32"/>
        </w:rPr>
        <w:t>社会保障和就业支出（类）208（款）05（项）05机关事业单位基本养老保险缴费支出</w:t>
      </w:r>
      <w:r>
        <w:rPr>
          <w:rFonts w:eastAsia="仿宋_GB2312" w:hint="eastAsia"/>
          <w:sz w:val="32"/>
          <w:szCs w:val="32"/>
          <w:lang w:val="en-US" w:eastAsia="zh-CN"/>
        </w:rPr>
        <w:t>14.29</w:t>
      </w:r>
      <w:r>
        <w:rPr>
          <w:rFonts w:eastAsia="仿宋_GB2312" w:hint="eastAsia"/>
          <w:sz w:val="32"/>
          <w:szCs w:val="32"/>
        </w:rPr>
        <w:t>万元</w:t>
      </w:r>
      <w:r>
        <w:rPr>
          <w:rFonts w:eastAsia="仿宋_GB2312"/>
          <w:sz w:val="32"/>
          <w:szCs w:val="32"/>
        </w:rPr>
        <w:t>；</w:t>
      </w:r>
      <w:r>
        <w:rPr>
          <w:rFonts w:eastAsia="仿宋_GB2312" w:hint="eastAsia"/>
          <w:sz w:val="32"/>
          <w:szCs w:val="32"/>
        </w:rPr>
        <w:t>社会保障和就业支出（类）208（款）10（项）</w:t>
      </w:r>
      <w:r>
        <w:rPr>
          <w:rFonts w:eastAsia="仿宋_GB2312" w:hint="eastAsia"/>
          <w:sz w:val="32"/>
          <w:szCs w:val="32"/>
          <w:lang w:val="en-US" w:eastAsia="zh-CN"/>
        </w:rPr>
        <w:t>01</w:t>
      </w:r>
      <w:r>
        <w:rPr>
          <w:rFonts w:eastAsia="仿宋_GB2312" w:hint="eastAsia"/>
          <w:sz w:val="32"/>
          <w:szCs w:val="32"/>
        </w:rPr>
        <w:t>儿童福利费</w:t>
      </w:r>
      <w:r>
        <w:rPr>
          <w:rFonts w:eastAsia="仿宋_GB2312" w:hint="eastAsia"/>
          <w:sz w:val="32"/>
          <w:szCs w:val="32"/>
          <w:lang w:val="en-US" w:eastAsia="zh-CN"/>
        </w:rPr>
        <w:t>0.2</w:t>
      </w:r>
      <w:r>
        <w:rPr>
          <w:rFonts w:eastAsia="仿宋_GB2312" w:hint="eastAsia"/>
          <w:sz w:val="32"/>
          <w:szCs w:val="32"/>
        </w:rPr>
        <w:t>万元。完成预算100%。</w:t>
      </w:r>
    </w:p>
    <w:p>
      <w:pPr>
        <w:adjustRightInd w:val="0"/>
        <w:snapToGrid w:val="0"/>
        <w:spacing w:line="353" w:lineRule="auto"/>
        <w:ind w:firstLineChars="200" w:firstLine="640"/>
        <w:outlineLvl w:val="1"/>
        <w:rPr>
          <w:rFonts w:eastAsia="仿宋_GB2312" w:cs="仿宋_GB2312" w:hint="eastAsia"/>
          <w:bCs/>
          <w:sz w:val="32"/>
          <w:szCs w:val="32"/>
        </w:rPr>
      </w:pPr>
      <w:r>
        <w:rPr>
          <w:rFonts w:eastAsia="仿宋_GB2312" w:hint="eastAsia"/>
          <w:sz w:val="32"/>
          <w:szCs w:val="32"/>
        </w:rPr>
        <w:t>3.金融支出</w:t>
      </w:r>
      <w:r>
        <w:rPr>
          <w:rFonts w:eastAsia="仿宋_GB2312" w:hint="eastAsia"/>
          <w:sz w:val="32"/>
          <w:szCs w:val="32"/>
          <w:lang w:val="en-US" w:eastAsia="zh-CN"/>
        </w:rPr>
        <w:t>231.92</w:t>
      </w:r>
      <w:r>
        <w:rPr>
          <w:rFonts w:eastAsia="仿宋_GB2312" w:hint="eastAsia"/>
          <w:sz w:val="32"/>
          <w:szCs w:val="32"/>
        </w:rPr>
        <w:t>万元，其中</w:t>
      </w:r>
      <w:r>
        <w:rPr>
          <w:rFonts w:eastAsia="仿宋_GB2312" w:cs="仿宋_GB2312" w:hint="eastAsia"/>
          <w:bCs/>
          <w:sz w:val="32"/>
          <w:szCs w:val="32"/>
        </w:rPr>
        <w:t>：</w:t>
      </w:r>
      <w:r>
        <w:rPr>
          <w:rFonts w:eastAsia="仿宋_GB2312" w:hint="eastAsia"/>
          <w:sz w:val="32"/>
          <w:szCs w:val="32"/>
        </w:rPr>
        <w:t>金融支出</w:t>
      </w:r>
      <w:r>
        <w:rPr>
          <w:rFonts w:eastAsia="仿宋_GB2312" w:cs="仿宋_GB2312" w:hint="eastAsia"/>
          <w:bCs/>
          <w:sz w:val="32"/>
          <w:szCs w:val="32"/>
        </w:rPr>
        <w:t>（类）217（款）01（项）</w:t>
      </w:r>
      <w:r>
        <w:rPr>
          <w:rFonts w:eastAsia="仿宋_GB2312" w:cs="仿宋_GB2312" w:hint="eastAsia"/>
          <w:bCs/>
          <w:sz w:val="32"/>
          <w:szCs w:val="32"/>
          <w:lang w:val="en-US" w:eastAsia="zh-CN"/>
        </w:rPr>
        <w:t>金融部门行政支出</w:t>
      </w:r>
      <w:r>
        <w:rPr>
          <w:rFonts w:eastAsia="仿宋_GB2312" w:cs="仿宋_GB2312" w:hint="eastAsia"/>
          <w:bCs/>
          <w:sz w:val="32"/>
          <w:szCs w:val="32"/>
        </w:rPr>
        <w:t>01行政支出</w:t>
      </w:r>
      <w:r>
        <w:rPr>
          <w:rFonts w:eastAsia="仿宋_GB2312" w:cs="仿宋_GB2312" w:hint="eastAsia"/>
          <w:bCs/>
          <w:sz w:val="32"/>
          <w:szCs w:val="32"/>
          <w:lang w:val="en-US" w:eastAsia="zh-CN"/>
        </w:rPr>
        <w:t>138.07</w:t>
      </w:r>
      <w:r>
        <w:rPr>
          <w:rFonts w:eastAsia="仿宋_GB2312" w:cs="仿宋_GB2312" w:hint="eastAsia"/>
          <w:bCs/>
          <w:sz w:val="32"/>
          <w:szCs w:val="32"/>
        </w:rPr>
        <w:t>万元</w:t>
      </w:r>
      <w:r>
        <w:rPr>
          <w:rFonts w:eastAsia="仿宋_GB2312" w:cs="仿宋_GB2312"/>
          <w:bCs/>
          <w:sz w:val="32"/>
          <w:szCs w:val="32"/>
        </w:rPr>
        <w:t>；</w:t>
      </w:r>
      <w:r>
        <w:rPr>
          <w:rFonts w:eastAsia="仿宋_GB2312" w:cs="仿宋_GB2312" w:hint="eastAsia"/>
          <w:bCs/>
          <w:sz w:val="32"/>
          <w:szCs w:val="32"/>
          <w:lang w:val="en-US" w:eastAsia="zh-CN"/>
        </w:rPr>
        <w:t>金融支出</w:t>
      </w:r>
      <w:r>
        <w:rPr>
          <w:rFonts w:eastAsia="仿宋_GB2312" w:cs="仿宋_GB2312" w:hint="eastAsia"/>
          <w:bCs/>
          <w:sz w:val="32"/>
          <w:szCs w:val="32"/>
        </w:rPr>
        <w:t>（类）217金融支出（款）01</w:t>
      </w:r>
      <w:r>
        <w:rPr>
          <w:rFonts w:eastAsia="仿宋_GB2312" w:cs="仿宋_GB2312" w:hint="eastAsia"/>
          <w:bCs/>
          <w:sz w:val="32"/>
          <w:szCs w:val="32"/>
          <w:lang w:val="en-US" w:eastAsia="zh-CN"/>
        </w:rPr>
        <w:t>金融部门行政支出</w:t>
      </w:r>
      <w:r>
        <w:rPr>
          <w:rFonts w:eastAsia="仿宋_GB2312" w:cs="仿宋_GB2312" w:hint="eastAsia"/>
          <w:bCs/>
          <w:sz w:val="32"/>
          <w:szCs w:val="32"/>
        </w:rPr>
        <w:t>（项）02一般行政管理事务</w:t>
      </w:r>
      <w:r>
        <w:rPr>
          <w:rFonts w:eastAsia="仿宋_GB2312" w:cs="仿宋_GB2312" w:hint="eastAsia"/>
          <w:bCs/>
          <w:sz w:val="32"/>
          <w:szCs w:val="32"/>
          <w:lang w:val="en-US" w:eastAsia="zh-CN"/>
        </w:rPr>
        <w:t>5.16</w:t>
      </w:r>
      <w:r>
        <w:rPr>
          <w:rFonts w:eastAsia="仿宋_GB2312" w:cs="仿宋_GB2312" w:hint="eastAsia"/>
          <w:bCs/>
          <w:sz w:val="32"/>
          <w:szCs w:val="32"/>
        </w:rPr>
        <w:t>万元</w:t>
      </w:r>
      <w:r>
        <w:rPr>
          <w:rFonts w:eastAsia="仿宋_GB2312" w:cs="仿宋_GB2312"/>
          <w:bCs/>
          <w:sz w:val="32"/>
          <w:szCs w:val="32"/>
        </w:rPr>
        <w:t>；</w:t>
      </w:r>
      <w:r>
        <w:rPr>
          <w:rFonts w:eastAsia="仿宋_GB2312" w:hint="eastAsia"/>
          <w:sz w:val="32"/>
          <w:szCs w:val="32"/>
        </w:rPr>
        <w:t>金融支出</w:t>
      </w:r>
      <w:r>
        <w:rPr>
          <w:rFonts w:eastAsia="仿宋_GB2312" w:cs="仿宋_GB2312" w:hint="eastAsia"/>
          <w:bCs/>
          <w:sz w:val="32"/>
          <w:szCs w:val="32"/>
        </w:rPr>
        <w:t>（类）217金融支出（款）01</w:t>
      </w:r>
      <w:r>
        <w:rPr>
          <w:rFonts w:eastAsia="仿宋_GB2312" w:cs="仿宋_GB2312" w:hint="eastAsia"/>
          <w:bCs/>
          <w:sz w:val="32"/>
          <w:szCs w:val="32"/>
          <w:lang w:val="en-US" w:eastAsia="zh-CN"/>
        </w:rPr>
        <w:t>金融部门行政支出</w:t>
      </w:r>
      <w:r>
        <w:rPr>
          <w:rFonts w:eastAsia="仿宋_GB2312" w:cs="仿宋_GB2312" w:hint="eastAsia"/>
          <w:bCs/>
          <w:sz w:val="32"/>
          <w:szCs w:val="32"/>
        </w:rPr>
        <w:t>（项）50事业运行</w:t>
      </w:r>
      <w:r>
        <w:rPr>
          <w:rFonts w:eastAsia="仿宋_GB2312" w:cs="仿宋_GB2312" w:hint="eastAsia"/>
          <w:bCs/>
          <w:sz w:val="32"/>
          <w:szCs w:val="32"/>
          <w:lang w:val="en-US" w:eastAsia="zh-CN"/>
        </w:rPr>
        <w:t>63.7</w:t>
      </w:r>
      <w:r>
        <w:rPr>
          <w:rFonts w:eastAsia="仿宋_GB2312" w:cs="仿宋_GB2312" w:hint="eastAsia"/>
          <w:bCs/>
          <w:sz w:val="32"/>
          <w:szCs w:val="32"/>
        </w:rPr>
        <w:t>万元</w:t>
      </w:r>
      <w:r>
        <w:rPr>
          <w:rFonts w:eastAsia="仿宋_GB2312" w:cs="仿宋_GB2312"/>
          <w:bCs/>
          <w:sz w:val="32"/>
          <w:szCs w:val="32"/>
        </w:rPr>
        <w:t>；</w:t>
      </w:r>
      <w:r>
        <w:rPr>
          <w:rFonts w:eastAsia="仿宋_GB2312" w:hint="eastAsia"/>
          <w:sz w:val="32"/>
          <w:szCs w:val="32"/>
        </w:rPr>
        <w:t>金融支出</w:t>
      </w:r>
      <w:r>
        <w:rPr>
          <w:rFonts w:eastAsia="仿宋_GB2312" w:cs="仿宋_GB2312" w:hint="eastAsia"/>
          <w:bCs/>
          <w:sz w:val="32"/>
          <w:szCs w:val="32"/>
        </w:rPr>
        <w:t>（类）217金融支出（款）</w:t>
      </w:r>
      <w:r>
        <w:rPr>
          <w:rFonts w:eastAsia="仿宋_GB2312" w:cs="仿宋_GB2312" w:hint="eastAsia"/>
          <w:bCs/>
          <w:sz w:val="32"/>
          <w:szCs w:val="32"/>
          <w:lang w:val="en-US" w:eastAsia="zh-CN"/>
        </w:rPr>
        <w:t>02金融部门监管支出</w:t>
      </w:r>
      <w:r>
        <w:rPr>
          <w:rFonts w:eastAsia="仿宋_GB2312" w:cs="仿宋_GB2312" w:hint="eastAsia"/>
          <w:bCs/>
          <w:sz w:val="32"/>
          <w:szCs w:val="32"/>
        </w:rPr>
        <w:t>（项）</w:t>
      </w:r>
      <w:r>
        <w:rPr>
          <w:rFonts w:eastAsia="仿宋_GB2312" w:cs="仿宋_GB2312" w:hint="eastAsia"/>
          <w:bCs/>
          <w:sz w:val="32"/>
          <w:szCs w:val="32"/>
          <w:lang w:val="en-US" w:eastAsia="zh-CN"/>
        </w:rPr>
        <w:t>04重点金融机构监管10万元</w:t>
      </w:r>
      <w:r>
        <w:rPr>
          <w:rFonts w:eastAsia="仿宋_GB2312" w:cs="仿宋_GB2312"/>
          <w:bCs/>
          <w:sz w:val="32"/>
          <w:szCs w:val="32"/>
          <w:lang w:val="en-US" w:eastAsia="zh-CN"/>
        </w:rPr>
        <w:t>；</w:t>
      </w:r>
      <w:r>
        <w:rPr>
          <w:rFonts w:eastAsia="仿宋_GB2312" w:hint="eastAsia"/>
          <w:sz w:val="32"/>
          <w:szCs w:val="32"/>
        </w:rPr>
        <w:t>金融支出</w:t>
      </w:r>
      <w:r>
        <w:rPr>
          <w:rFonts w:eastAsia="仿宋_GB2312" w:cs="仿宋_GB2312" w:hint="eastAsia"/>
          <w:bCs/>
          <w:sz w:val="32"/>
          <w:szCs w:val="32"/>
        </w:rPr>
        <w:t>（类217）金融支出（款）0</w:t>
      </w:r>
      <w:r>
        <w:rPr>
          <w:rFonts w:eastAsia="仿宋_GB2312" w:cs="仿宋_GB2312" w:hint="eastAsia"/>
          <w:bCs/>
          <w:sz w:val="32"/>
          <w:szCs w:val="32"/>
          <w:lang w:val="en-US" w:eastAsia="zh-CN"/>
        </w:rPr>
        <w:t>2金融部门监管支出</w:t>
      </w:r>
      <w:r>
        <w:rPr>
          <w:rFonts w:eastAsia="仿宋_GB2312" w:cs="仿宋_GB2312" w:hint="eastAsia"/>
          <w:bCs/>
          <w:sz w:val="32"/>
          <w:szCs w:val="32"/>
        </w:rPr>
        <w:t>（项）</w:t>
      </w:r>
      <w:r>
        <w:rPr>
          <w:rFonts w:eastAsia="仿宋_GB2312" w:cs="仿宋_GB2312" w:hint="eastAsia"/>
          <w:bCs/>
          <w:sz w:val="32"/>
          <w:szCs w:val="32"/>
          <w:lang w:val="en-US" w:eastAsia="zh-CN"/>
        </w:rPr>
        <w:t>99</w:t>
      </w:r>
      <w:r>
        <w:rPr>
          <w:rFonts w:eastAsia="仿宋_GB2312" w:cs="仿宋_GB2312" w:hint="eastAsia"/>
          <w:bCs/>
          <w:sz w:val="32"/>
          <w:szCs w:val="32"/>
        </w:rPr>
        <w:t>金融部门其他行政支出</w:t>
      </w:r>
      <w:r>
        <w:rPr>
          <w:rFonts w:eastAsia="仿宋_GB2312" w:cs="仿宋_GB2312" w:hint="eastAsia"/>
          <w:bCs/>
          <w:sz w:val="32"/>
          <w:szCs w:val="32"/>
          <w:lang w:val="en-US" w:eastAsia="zh-CN"/>
        </w:rPr>
        <w:t>14.99</w:t>
      </w:r>
      <w:r>
        <w:rPr>
          <w:rFonts w:eastAsia="仿宋_GB2312" w:cs="仿宋_GB2312" w:hint="eastAsia"/>
          <w:bCs/>
          <w:sz w:val="32"/>
          <w:szCs w:val="32"/>
        </w:rPr>
        <w:t>万元。完成预算100%。</w:t>
      </w:r>
    </w:p>
    <w:p>
      <w:pPr>
        <w:adjustRightInd w:val="0"/>
        <w:snapToGrid w:val="0"/>
        <w:spacing w:line="353" w:lineRule="auto"/>
        <w:ind w:firstLineChars="200" w:firstLine="640"/>
        <w:rPr>
          <w:rFonts w:eastAsia="仿宋_GB2312" w:hint="eastAsia"/>
          <w:sz w:val="32"/>
          <w:szCs w:val="32"/>
        </w:rPr>
      </w:pPr>
      <w:r>
        <w:rPr>
          <w:rFonts w:eastAsia="仿宋_GB2312" w:cs="仿宋_GB2312" w:hint="eastAsia"/>
          <w:bCs/>
          <w:sz w:val="32"/>
          <w:szCs w:val="32"/>
        </w:rPr>
        <w:t>4.住房保障支出（类）221（款）02住房改革支出（项）</w:t>
      </w:r>
      <w:r>
        <w:rPr>
          <w:rFonts w:eastAsia="仿宋_GB2312" w:cs="仿宋_GB2312" w:hint="eastAsia"/>
          <w:bCs/>
          <w:sz w:val="32"/>
          <w:szCs w:val="32"/>
          <w:lang w:val="en-US" w:eastAsia="zh-CN"/>
        </w:rPr>
        <w:t>01</w:t>
      </w:r>
      <w:r>
        <w:rPr>
          <w:rFonts w:eastAsia="仿宋_GB2312" w:cs="仿宋_GB2312" w:hint="eastAsia"/>
          <w:bCs/>
          <w:sz w:val="32"/>
          <w:szCs w:val="32"/>
        </w:rPr>
        <w:t>住房公积金</w:t>
      </w:r>
      <w:r>
        <w:rPr>
          <w:rFonts w:eastAsia="仿宋_GB2312" w:cs="仿宋_GB2312" w:hint="eastAsia"/>
          <w:bCs/>
          <w:sz w:val="32"/>
          <w:szCs w:val="32"/>
          <w:lang w:val="en-US" w:eastAsia="zh-CN"/>
        </w:rPr>
        <w:t>17.83</w:t>
      </w:r>
      <w:r>
        <w:rPr>
          <w:rFonts w:eastAsia="仿宋_GB2312" w:cs="仿宋_GB2312" w:hint="eastAsia"/>
          <w:bCs/>
          <w:sz w:val="32"/>
          <w:szCs w:val="32"/>
        </w:rPr>
        <w:t>万元。完成预算100%。</w:t>
      </w:r>
    </w:p>
    <w:p>
      <w:pPr>
        <w:adjustRightInd w:val="0"/>
        <w:snapToGrid w:val="0"/>
        <w:spacing w:line="353" w:lineRule="auto"/>
        <w:ind w:firstLineChars="200" w:firstLine="640"/>
        <w:rPr>
          <w:rFonts w:ascii="仿宋" w:eastAsia="仿宋"/>
          <w:b/>
          <w:color w:val="auto"/>
          <w:sz w:val="32"/>
          <w:szCs w:val="32"/>
        </w:rPr>
      </w:pPr>
      <w:r>
        <w:rPr>
          <w:rFonts w:eastAsia="黑体" w:hint="eastAsia"/>
          <w:color w:val="auto"/>
          <w:sz w:val="32"/>
          <w:szCs w:val="32"/>
        </w:rPr>
        <w:t>六</w:t>
      </w:r>
      <w:r>
        <w:rPr>
          <w:rFonts w:eastAsia="黑体" w:hint="eastAsia"/>
          <w:b/>
          <w:color w:val="auto"/>
          <w:sz w:val="32"/>
          <w:szCs w:val="32"/>
        </w:rPr>
        <w:t>、一</w:t>
      </w:r>
      <w:r>
        <w:rPr>
          <w:rStyle w:val="2Char"/>
          <w:rFonts w:ascii="Times New Roman" w:eastAsia="黑体" w:hAnsi="Times New Roman" w:hint="eastAsia"/>
          <w:b w:val="0"/>
          <w:color w:val="auto"/>
        </w:rPr>
        <w:t>般公共预算财政拨款基本支出决算情况说明</w:t>
      </w:r>
    </w:p>
    <w:p>
      <w:pPr>
        <w:adjustRightInd w:val="0"/>
        <w:snapToGrid w:val="0"/>
        <w:spacing w:line="353" w:lineRule="auto"/>
        <w:ind w:firstLine="645"/>
        <w:rPr>
          <w:rFonts w:eastAsia="仿宋_GB2312" w:cs="仿宋_GB2312" w:hint="eastAsia"/>
          <w:bCs/>
          <w:sz w:val="32"/>
          <w:szCs w:val="32"/>
        </w:rPr>
      </w:pPr>
      <w:r>
        <w:rPr>
          <w:rFonts w:eastAsia="仿宋_GB2312" w:cs="仿宋_GB2312" w:hint="eastAsia"/>
          <w:bCs/>
          <w:sz w:val="32"/>
          <w:szCs w:val="32"/>
        </w:rPr>
        <w:t>2021年一般公共预算财政拨款基本支出237.9万元，其中：</w:t>
      </w:r>
    </w:p>
    <w:p>
      <w:pPr>
        <w:adjustRightInd w:val="0"/>
        <w:snapToGrid w:val="0"/>
        <w:spacing w:line="353" w:lineRule="auto"/>
        <w:ind w:firstLine="645"/>
        <w:rPr>
          <w:rFonts w:eastAsia="仿宋_GB2312" w:cs="仿宋_GB2312" w:hint="eastAsia"/>
          <w:bCs/>
          <w:sz w:val="32"/>
          <w:szCs w:val="32"/>
        </w:rPr>
      </w:pPr>
      <w:r>
        <w:rPr>
          <w:rFonts w:eastAsia="仿宋_GB2312" w:cs="仿宋_GB2312" w:hint="eastAsia"/>
          <w:bCs/>
          <w:sz w:val="32"/>
          <w:szCs w:val="32"/>
        </w:rPr>
        <w:t>人员经费206.5</w:t>
      </w:r>
      <w:r>
        <w:rPr>
          <w:rFonts w:eastAsia="仿宋_GB2312" w:cs="仿宋_GB2312" w:hint="eastAsia"/>
          <w:bCs/>
          <w:sz w:val="32"/>
          <w:szCs w:val="32"/>
          <w:lang w:val="en-US" w:eastAsia="zh-CN"/>
        </w:rPr>
        <w:t>3</w:t>
      </w:r>
      <w:r>
        <w:rPr>
          <w:rFonts w:eastAsia="仿宋_GB2312" w:cs="仿宋_GB2312" w:hint="eastAsia"/>
          <w:bCs/>
          <w:sz w:val="32"/>
          <w:szCs w:val="32"/>
        </w:rPr>
        <w:t>万元，主要包括：基本工资44.38万元、津贴补贴84.4</w:t>
      </w:r>
      <w:r>
        <w:rPr>
          <w:rFonts w:eastAsia="仿宋_GB2312" w:cs="仿宋_GB2312" w:hint="eastAsia"/>
          <w:bCs/>
          <w:sz w:val="32"/>
          <w:szCs w:val="32"/>
          <w:lang w:val="en-US" w:eastAsia="zh-CN"/>
        </w:rPr>
        <w:t>8</w:t>
      </w:r>
      <w:r>
        <w:rPr>
          <w:rFonts w:eastAsia="仿宋_GB2312" w:cs="仿宋_GB2312" w:hint="eastAsia"/>
          <w:bCs/>
          <w:sz w:val="32"/>
          <w:szCs w:val="32"/>
        </w:rPr>
        <w:t>万元、奖金2.93万元、绩效工资20.74万元，机关事业单位基本养老保险缴费14.29万元、职工基本医疗保险费10.78万元，公务员医疗补助缴费0.91万元，其他社会保障缴费0.5万元、住房公积金17.83万元、其他工资和福利支出5.69万元</w:t>
      </w:r>
      <w:r>
        <w:rPr>
          <w:rFonts w:eastAsia="仿宋_GB2312" w:cs="仿宋_GB2312"/>
          <w:bCs/>
          <w:sz w:val="32"/>
          <w:szCs w:val="32"/>
        </w:rPr>
        <w:t>，</w:t>
      </w:r>
      <w:r>
        <w:rPr>
          <w:rFonts w:eastAsia="仿宋_GB2312" w:cs="仿宋_GB2312" w:hint="eastAsia"/>
          <w:bCs/>
          <w:sz w:val="32"/>
          <w:szCs w:val="32"/>
        </w:rPr>
        <w:t>对个人和家庭的补助支出4万元</w:t>
      </w:r>
      <w:r>
        <w:rPr>
          <w:rFonts w:eastAsia="仿宋_GB2312" w:cs="仿宋_GB2312"/>
          <w:bCs/>
          <w:sz w:val="32"/>
          <w:szCs w:val="32"/>
        </w:rPr>
        <w:t>（</w:t>
      </w:r>
      <w:r>
        <w:rPr>
          <w:rFonts w:eastAsia="仿宋_GB2312" w:cs="仿宋_GB2312" w:hint="eastAsia"/>
          <w:bCs/>
          <w:sz w:val="32"/>
          <w:szCs w:val="32"/>
        </w:rPr>
        <w:t>生活补助</w:t>
      </w:r>
      <w:r>
        <w:rPr>
          <w:rFonts w:eastAsia="仿宋_GB2312" w:cs="仿宋_GB2312"/>
          <w:bCs/>
          <w:sz w:val="32"/>
          <w:szCs w:val="32"/>
        </w:rPr>
        <w:t>）</w:t>
      </w:r>
      <w:r>
        <w:rPr>
          <w:rFonts w:eastAsia="仿宋_GB2312" w:cs="仿宋_GB2312" w:hint="eastAsia"/>
          <w:bCs/>
          <w:sz w:val="32"/>
          <w:szCs w:val="32"/>
        </w:rPr>
        <w:t>。</w:t>
      </w:r>
    </w:p>
    <w:p>
      <w:pPr>
        <w:adjustRightInd w:val="0"/>
        <w:snapToGrid w:val="0"/>
        <w:spacing w:line="353" w:lineRule="auto"/>
        <w:ind w:firstLineChars="200" w:firstLine="640"/>
        <w:rPr>
          <w:rFonts w:eastAsia="仿宋_GB2312" w:cs="仿宋_GB2312" w:hint="eastAsia"/>
          <w:bCs/>
          <w:sz w:val="32"/>
          <w:szCs w:val="32"/>
        </w:rPr>
      </w:pPr>
      <w:r>
        <w:rPr>
          <w:rFonts w:eastAsia="仿宋_GB2312" w:cs="仿宋_GB2312" w:hint="eastAsia"/>
          <w:bCs/>
          <w:sz w:val="32"/>
          <w:szCs w:val="32"/>
        </w:rPr>
        <w:t>商品和服务支出31.36万元，主要包括：办公费0.96万元，印刷费2.09万元，水费0.8万元，电费0.57万元，邮电费1.69万元，差旅费0.73万元，维修（护）费0.7万元，租赁费0.03万元，工会经费2.63万元，福利费6.63万元，其他交通费7.92万元，其他商品和服务支出6.26万元，办公设备购置0.35万元。</w:t>
      </w:r>
    </w:p>
    <w:p>
      <w:pPr>
        <w:adjustRightInd w:val="0"/>
        <w:snapToGrid w:val="0"/>
        <w:spacing w:line="353" w:lineRule="auto"/>
        <w:ind w:firstLine="640"/>
        <w:outlineLvl w:val="1"/>
        <w:rPr>
          <w:rStyle w:val="27"/>
          <w:rFonts w:ascii="黑体" w:eastAsia="黑体"/>
          <w:b w:val="0"/>
          <w:color w:val="auto"/>
        </w:rPr>
      </w:pPr>
      <w:r>
        <w:rPr>
          <w:rFonts w:ascii="黑体" w:eastAsia="黑体" w:hint="eastAsia"/>
          <w:color w:val="auto"/>
          <w:sz w:val="32"/>
          <w:szCs w:val="32"/>
        </w:rPr>
        <w:t>七、</w:t>
      </w:r>
      <w:r>
        <w:rPr>
          <w:rStyle w:val="27"/>
          <w:rFonts w:ascii="黑体" w:eastAsia="黑体" w:hint="eastAsia"/>
          <w:b w:val="0"/>
        </w:rPr>
        <w:t>“三公”</w:t>
      </w:r>
      <w:r>
        <w:rPr>
          <w:rStyle w:val="27"/>
          <w:rFonts w:ascii="黑体" w:eastAsia="黑体" w:hint="eastAsia"/>
          <w:b w:val="0"/>
          <w:color w:val="auto"/>
        </w:rPr>
        <w:t>经费财政拨款支出决算情况说明</w:t>
      </w:r>
    </w:p>
    <w:p>
      <w:pPr>
        <w:adjustRightInd w:val="0"/>
        <w:snapToGrid w:val="0"/>
        <w:spacing w:line="353" w:lineRule="auto"/>
        <w:ind w:firstLineChars="200" w:firstLine="640"/>
        <w:rPr>
          <w:rFonts w:eastAsia="仿宋_GB2312"/>
          <w:sz w:val="32"/>
          <w:szCs w:val="32"/>
        </w:rPr>
      </w:pPr>
      <w:r>
        <w:rPr>
          <w:rFonts w:eastAsia="仿宋_GB2312"/>
          <w:sz w:val="32"/>
          <w:szCs w:val="32"/>
        </w:rPr>
        <w:t>“三公”经费支出情况：</w:t>
      </w:r>
      <w:r>
        <w:rPr>
          <w:rFonts w:eastAsia="仿宋_GB2312" w:hint="eastAsia"/>
          <w:sz w:val="32"/>
          <w:szCs w:val="32"/>
          <w:lang w:val="en-US" w:eastAsia="zh-CN"/>
        </w:rPr>
        <w:t>2021</w:t>
      </w:r>
      <w:r>
        <w:rPr>
          <w:rFonts w:eastAsia="仿宋_GB2312"/>
          <w:sz w:val="32"/>
          <w:szCs w:val="32"/>
        </w:rPr>
        <w:t>年</w:t>
      </w:r>
      <w:r>
        <w:rPr>
          <w:rFonts w:eastAsia="仿宋_GB2312" w:hint="eastAsia"/>
          <w:sz w:val="32"/>
          <w:szCs w:val="32"/>
          <w:lang w:val="en-US" w:eastAsia="zh-CN"/>
        </w:rPr>
        <w:t>公务</w:t>
      </w:r>
      <w:r>
        <w:rPr>
          <w:rFonts w:eastAsia="仿宋_GB2312"/>
          <w:sz w:val="32"/>
          <w:szCs w:val="32"/>
        </w:rPr>
        <w:t>接待费</w:t>
      </w:r>
      <w:r>
        <w:rPr>
          <w:rFonts w:eastAsia="仿宋_GB2312" w:hint="eastAsia"/>
          <w:sz w:val="32"/>
          <w:szCs w:val="32"/>
          <w:lang w:val="en-US" w:eastAsia="zh-CN"/>
        </w:rPr>
        <w:t>0.43万</w:t>
      </w:r>
      <w:r>
        <w:rPr>
          <w:rFonts w:eastAsia="仿宋_GB2312"/>
          <w:sz w:val="32"/>
          <w:szCs w:val="32"/>
        </w:rPr>
        <w:t>元，2020年</w:t>
      </w:r>
      <w:r>
        <w:rPr>
          <w:rFonts w:eastAsia="仿宋_GB2312" w:hint="eastAsia"/>
          <w:sz w:val="32"/>
          <w:szCs w:val="32"/>
          <w:lang w:val="en-US" w:eastAsia="zh-CN"/>
        </w:rPr>
        <w:t>未发生</w:t>
      </w:r>
      <w:r>
        <w:rPr>
          <w:rFonts w:eastAsia="仿宋_GB2312"/>
          <w:sz w:val="32"/>
          <w:szCs w:val="32"/>
        </w:rPr>
        <w:t>接待费。</w:t>
      </w:r>
    </w:p>
    <w:p>
      <w:pPr>
        <w:adjustRightInd w:val="0"/>
        <w:snapToGrid w:val="0"/>
        <w:spacing w:line="353" w:lineRule="auto"/>
        <w:ind w:firstLine="640"/>
        <w:outlineLvl w:val="1"/>
        <w:rPr>
          <w:rStyle w:val="27"/>
          <w:rFonts w:ascii="黑体" w:eastAsia="黑体"/>
          <w:color w:val="auto"/>
        </w:rPr>
      </w:pPr>
      <w:r>
        <w:rPr>
          <w:rFonts w:ascii="黑体" w:eastAsia="黑体" w:hint="eastAsia"/>
          <w:color w:val="auto"/>
          <w:sz w:val="32"/>
          <w:szCs w:val="32"/>
        </w:rPr>
        <w:t>八、</w:t>
      </w:r>
      <w:r>
        <w:rPr>
          <w:rStyle w:val="27"/>
          <w:rFonts w:ascii="黑体" w:eastAsia="黑体" w:hint="eastAsia"/>
          <w:b w:val="0"/>
          <w:color w:val="auto"/>
        </w:rPr>
        <w:t>政府性基金预算支出决算情况说明</w:t>
      </w:r>
    </w:p>
    <w:p>
      <w:pPr>
        <w:adjustRightInd w:val="0"/>
        <w:snapToGrid w:val="0"/>
        <w:spacing w:line="353" w:lineRule="auto"/>
        <w:ind w:firstLineChars="200" w:firstLine="640"/>
        <w:rPr>
          <w:rFonts w:eastAsia="仿宋_GB2312"/>
          <w:sz w:val="32"/>
          <w:szCs w:val="32"/>
        </w:rPr>
      </w:pPr>
      <w:r>
        <w:rPr>
          <w:rFonts w:eastAsia="仿宋_GB2312" w:hint="eastAsia"/>
          <w:sz w:val="32"/>
          <w:szCs w:val="32"/>
          <w:lang w:val="en-US" w:eastAsia="zh-CN"/>
        </w:rPr>
        <w:t>2021年政府性基金预算财政拨款支出0万元</w:t>
      </w:r>
      <w:r>
        <w:rPr>
          <w:rFonts w:eastAsia="仿宋_GB2312" w:hint="eastAsia"/>
          <w:sz w:val="32"/>
          <w:szCs w:val="32"/>
        </w:rPr>
        <w:t>。</w:t>
      </w:r>
    </w:p>
    <w:p>
      <w:pPr>
        <w:numPr>
          <w:ilvl w:val="0"/>
          <w:numId w:val="2"/>
        </w:numPr>
        <w:adjustRightInd w:val="0"/>
        <w:snapToGrid w:val="0"/>
        <w:spacing w:line="353" w:lineRule="auto"/>
        <w:ind w:left="0" w:firstLine="640"/>
        <w:outlineLvl w:val="1"/>
        <w:rPr>
          <w:rStyle w:val="27"/>
          <w:rFonts w:ascii="黑体" w:eastAsia="黑体"/>
          <w:b w:val="0"/>
          <w:color w:val="auto"/>
        </w:rPr>
      </w:pPr>
      <w:r>
        <w:rPr>
          <w:rStyle w:val="27"/>
          <w:rFonts w:ascii="黑体" w:eastAsia="黑体" w:hint="eastAsia"/>
          <w:b w:val="0"/>
          <w:color w:val="auto"/>
        </w:rPr>
        <w:t>国有资本经营预算支出决算情况说明</w:t>
      </w:r>
    </w:p>
    <w:p>
      <w:pPr>
        <w:adjustRightInd w:val="0"/>
        <w:snapToGrid w:val="0"/>
        <w:spacing w:line="353" w:lineRule="auto"/>
        <w:ind w:left="0" w:firstLineChars="200" w:firstLine="640"/>
        <w:outlineLvl w:val="1"/>
        <w:rPr>
          <w:rFonts w:eastAsia="仿宋_GB2312" w:hint="eastAsia"/>
          <w:sz w:val="32"/>
          <w:szCs w:val="32"/>
        </w:rPr>
      </w:pPr>
      <w:r>
        <w:rPr>
          <w:rFonts w:eastAsia="仿宋_GB2312" w:hint="eastAsia"/>
          <w:sz w:val="32"/>
          <w:szCs w:val="32"/>
        </w:rPr>
        <w:t>2021年国有资本预算财政拨款支出0万元。</w:t>
      </w:r>
    </w:p>
    <w:p>
      <w:pPr>
        <w:adjustRightInd w:val="0"/>
        <w:snapToGrid w:val="0"/>
        <w:spacing w:line="353" w:lineRule="auto"/>
        <w:ind w:left="0" w:firstLine="630"/>
        <w:outlineLvl w:val="1"/>
        <w:rPr>
          <w:rFonts w:ascii="仿宋_GB2312" w:eastAsia="仿宋_GB2312" w:hint="eastAsia"/>
          <w:sz w:val="32"/>
          <w:szCs w:val="32"/>
        </w:rPr>
      </w:pPr>
      <w:r>
        <w:rPr>
          <w:rFonts w:ascii="黑体" w:eastAsia="黑体" w:hint="eastAsia"/>
          <w:color w:val="auto"/>
          <w:sz w:val="32"/>
          <w:szCs w:val="32"/>
        </w:rPr>
        <w:t>十</w:t>
      </w:r>
      <w:r>
        <w:rPr>
          <w:rStyle w:val="27"/>
          <w:rFonts w:ascii="黑体" w:eastAsia="黑体" w:hint="eastAsia"/>
          <w:color w:val="auto"/>
        </w:rPr>
        <w:t>、</w:t>
      </w:r>
      <w:r>
        <w:rPr>
          <w:rStyle w:val="27"/>
          <w:rFonts w:ascii="黑体" w:eastAsia="黑体" w:hint="eastAsia"/>
          <w:b w:val="0"/>
          <w:color w:val="auto"/>
        </w:rPr>
        <w:t>其他重要事项的情况说明</w:t>
      </w:r>
    </w:p>
    <w:p>
      <w:pPr>
        <w:adjustRightInd w:val="0"/>
        <w:snapToGrid w:val="0"/>
        <w:spacing w:line="353" w:lineRule="auto"/>
        <w:ind w:firstLineChars="200" w:firstLine="640"/>
        <w:outlineLvl w:val="2"/>
        <w:rPr>
          <w:rFonts w:ascii="仿宋" w:eastAsia="仿宋"/>
          <w:color w:val="000000"/>
          <w:sz w:val="32"/>
          <w:szCs w:val="32"/>
        </w:rPr>
      </w:pPr>
      <w:r>
        <w:rPr>
          <w:rFonts w:ascii="仿宋" w:eastAsia="仿宋" w:hint="eastAsia"/>
          <w:b/>
          <w:color w:val="000000"/>
          <w:sz w:val="32"/>
          <w:szCs w:val="32"/>
        </w:rPr>
        <w:t>（一）机关运行经费支出情况。</w:t>
      </w:r>
    </w:p>
    <w:p>
      <w:pPr>
        <w:adjustRightInd w:val="0"/>
        <w:snapToGrid w:val="0"/>
        <w:spacing w:line="353" w:lineRule="auto"/>
        <w:ind w:firstLineChars="200" w:firstLine="640"/>
        <w:jc w:val="left"/>
        <w:rPr>
          <w:rFonts w:eastAsia="仿宋_GB2312" w:cs="方正小标宋简体"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年，市金融工作局机关运行经费支出</w:t>
      </w:r>
      <w:r>
        <w:rPr>
          <w:rFonts w:eastAsia="仿宋_GB2312" w:hint="eastAsia"/>
          <w:sz w:val="32"/>
          <w:szCs w:val="32"/>
          <w:lang w:val="en-US" w:eastAsia="zh-CN"/>
        </w:rPr>
        <w:t>31.36</w:t>
      </w:r>
      <w:r>
        <w:rPr>
          <w:rFonts w:eastAsia="仿宋_GB2312" w:hint="eastAsia"/>
          <w:sz w:val="32"/>
          <w:szCs w:val="32"/>
        </w:rPr>
        <w:t>万元，比</w:t>
      </w:r>
      <w:r>
        <w:rPr>
          <w:rFonts w:eastAsia="仿宋_GB2312" w:hint="eastAsia"/>
          <w:sz w:val="32"/>
          <w:szCs w:val="32"/>
          <w:lang w:val="en-US" w:eastAsia="zh-CN"/>
        </w:rPr>
        <w:t>2020</w:t>
      </w:r>
      <w:r>
        <w:rPr>
          <w:rFonts w:eastAsia="仿宋_GB2312" w:hint="eastAsia"/>
          <w:sz w:val="32"/>
          <w:szCs w:val="32"/>
        </w:rPr>
        <w:t>年</w:t>
      </w:r>
      <w:r>
        <w:rPr>
          <w:rFonts w:eastAsia="仿宋_GB2312" w:hint="eastAsia"/>
          <w:sz w:val="32"/>
          <w:szCs w:val="32"/>
          <w:lang w:val="en-US" w:eastAsia="zh-CN"/>
        </w:rPr>
        <w:t>24.57</w:t>
      </w:r>
      <w:r>
        <w:rPr>
          <w:rFonts w:eastAsia="仿宋_GB2312" w:hint="eastAsia"/>
          <w:sz w:val="32"/>
          <w:szCs w:val="32"/>
        </w:rPr>
        <w:t>万元增加</w:t>
      </w:r>
      <w:r>
        <w:rPr>
          <w:rFonts w:eastAsia="仿宋_GB2312" w:hint="eastAsia"/>
          <w:sz w:val="32"/>
          <w:szCs w:val="32"/>
          <w:lang w:val="en-US" w:eastAsia="zh-CN"/>
        </w:rPr>
        <w:t>6.79</w:t>
      </w:r>
      <w:r>
        <w:rPr>
          <w:rFonts w:eastAsia="仿宋_GB2312" w:hint="eastAsia"/>
          <w:sz w:val="32"/>
          <w:szCs w:val="32"/>
        </w:rPr>
        <w:t>万元，增长</w:t>
      </w:r>
      <w:r>
        <w:rPr>
          <w:rFonts w:eastAsia="仿宋_GB2312" w:hint="eastAsia"/>
          <w:sz w:val="32"/>
          <w:szCs w:val="32"/>
          <w:lang w:val="en-US" w:eastAsia="zh-CN"/>
        </w:rPr>
        <w:t>27.64</w:t>
      </w:r>
      <w:r>
        <w:rPr>
          <w:rFonts w:eastAsia="仿宋_GB2312" w:hint="eastAsia"/>
          <w:sz w:val="32"/>
          <w:szCs w:val="32"/>
        </w:rPr>
        <w:t>%。主要原因是：</w:t>
      </w:r>
      <w:r>
        <w:rPr>
          <w:rFonts w:eastAsia="仿宋_GB2312" w:hint="eastAsia"/>
          <w:sz w:val="32"/>
          <w:szCs w:val="32"/>
          <w:lang w:val="en-US" w:eastAsia="zh-CN"/>
        </w:rPr>
        <w:t>增加2人行政人员公用经费</w:t>
      </w:r>
      <w:r>
        <w:rPr>
          <w:rFonts w:eastAsia="仿宋_GB2312" w:hint="eastAsia"/>
          <w:sz w:val="32"/>
          <w:szCs w:val="32"/>
          <w:lang w:eastAsia="zh-CN"/>
        </w:rPr>
        <w:t>（</w:t>
      </w:r>
      <w:r>
        <w:rPr>
          <w:rFonts w:eastAsia="仿宋_GB2312" w:hint="eastAsia"/>
          <w:sz w:val="32"/>
          <w:szCs w:val="32"/>
          <w:lang w:val="en-US" w:eastAsia="zh-CN"/>
        </w:rPr>
        <w:t>调入3人，调出1人</w:t>
      </w:r>
      <w:r>
        <w:rPr>
          <w:rFonts w:eastAsia="仿宋_GB2312" w:hint="eastAsia"/>
          <w:sz w:val="32"/>
          <w:szCs w:val="32"/>
          <w:lang w:eastAsia="zh-CN"/>
        </w:rPr>
        <w:t>）</w:t>
      </w:r>
    </w:p>
    <w:p>
      <w:pPr>
        <w:autoSpaceDE w:val="0"/>
        <w:autoSpaceDN w:val="0"/>
        <w:adjustRightInd w:val="0"/>
        <w:snapToGrid w:val="0"/>
        <w:spacing w:line="353" w:lineRule="auto"/>
        <w:ind w:firstLineChars="200" w:firstLine="640"/>
        <w:jc w:val="left"/>
        <w:outlineLvl w:val="2"/>
        <w:rPr>
          <w:rFonts w:ascii="仿宋" w:eastAsia="仿宋"/>
          <w:b/>
          <w:color w:val="auto"/>
          <w:sz w:val="32"/>
          <w:szCs w:val="32"/>
        </w:rPr>
      </w:pPr>
      <w:r>
        <w:rPr>
          <w:rFonts w:ascii="仿宋" w:eastAsia="仿宋" w:hint="eastAsia"/>
          <w:b/>
          <w:color w:val="auto"/>
          <w:sz w:val="32"/>
          <w:szCs w:val="32"/>
        </w:rPr>
        <w:t>（二）政府采购支出情况。</w:t>
      </w:r>
    </w:p>
    <w:p>
      <w:pPr>
        <w:adjustRightInd w:val="0"/>
        <w:snapToGrid w:val="0"/>
        <w:spacing w:line="353" w:lineRule="auto"/>
        <w:ind w:firstLineChars="200" w:firstLine="640"/>
        <w:rPr>
          <w:rFonts w:eastAsia="仿宋_GB2312" w:hint="eastAsia"/>
          <w:sz w:val="32"/>
          <w:szCs w:val="32"/>
          <w:lang w:eastAsia="zh-CN"/>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年，金融工作局政府采购支出</w:t>
      </w:r>
      <w:r>
        <w:rPr>
          <w:rFonts w:eastAsia="仿宋_GB2312" w:hint="eastAsia"/>
          <w:sz w:val="32"/>
          <w:szCs w:val="32"/>
          <w:lang w:val="en-US" w:eastAsia="zh-CN"/>
        </w:rPr>
        <w:t>0</w:t>
      </w:r>
      <w:r>
        <w:rPr>
          <w:rFonts w:eastAsia="仿宋_GB2312" w:hint="eastAsia"/>
          <w:sz w:val="32"/>
          <w:szCs w:val="32"/>
        </w:rPr>
        <w:t>万元</w:t>
      </w:r>
      <w:r>
        <w:rPr>
          <w:rFonts w:eastAsia="仿宋_GB2312" w:hint="eastAsia"/>
          <w:sz w:val="32"/>
          <w:szCs w:val="32"/>
          <w:lang w:eastAsia="zh-CN"/>
        </w:rPr>
        <w:t>。</w:t>
      </w:r>
    </w:p>
    <w:p>
      <w:pPr>
        <w:autoSpaceDE w:val="0"/>
        <w:autoSpaceDN w:val="0"/>
        <w:adjustRightInd w:val="0"/>
        <w:snapToGrid w:val="0"/>
        <w:spacing w:line="353" w:lineRule="auto"/>
        <w:ind w:firstLineChars="200" w:firstLine="640"/>
        <w:jc w:val="left"/>
        <w:outlineLvl w:val="2"/>
        <w:rPr>
          <w:rFonts w:ascii="楷体" w:eastAsia="楷体" w:cs="楷体"/>
          <w:b/>
          <w:color w:val="auto"/>
          <w:sz w:val="32"/>
          <w:szCs w:val="32"/>
        </w:rPr>
      </w:pPr>
      <w:bookmarkStart w:id="23" w:name="_Toc15377224"/>
      <w:bookmarkEnd w:id="21"/>
      <w:bookmarkEnd w:id="22"/>
      <w:r>
        <w:rPr>
          <w:rFonts w:ascii="楷体" w:eastAsia="楷体" w:cs="楷体" w:hint="eastAsia"/>
          <w:b/>
          <w:color w:val="auto"/>
          <w:sz w:val="32"/>
          <w:szCs w:val="32"/>
        </w:rPr>
        <w:t>（三）国有资产占有使用情况</w:t>
      </w:r>
      <w:bookmarkEnd w:id="23"/>
      <w:r>
        <w:rPr>
          <w:rFonts w:ascii="楷体" w:eastAsia="楷体" w:cs="楷体" w:hint="eastAsia"/>
          <w:b/>
          <w:color w:val="auto"/>
          <w:sz w:val="32"/>
          <w:szCs w:val="32"/>
        </w:rPr>
        <w:t>。</w:t>
      </w:r>
    </w:p>
    <w:p>
      <w:pPr>
        <w:autoSpaceDE w:val="0"/>
        <w:autoSpaceDN w:val="0"/>
        <w:adjustRightInd w:val="0"/>
        <w:snapToGrid w:val="0"/>
        <w:spacing w:line="353" w:lineRule="auto"/>
        <w:ind w:firstLineChars="200" w:firstLine="640"/>
        <w:jc w:val="left"/>
        <w:outlineLvl w:val="2"/>
        <w:rPr>
          <w:rFonts w:ascii="仿宋_GB2312" w:eastAsia="仿宋_GB2312" w:cs="仿宋_GB2312"/>
          <w:bCs/>
          <w:color w:val="auto"/>
          <w:sz w:val="32"/>
          <w:szCs w:val="32"/>
        </w:rPr>
      </w:pPr>
      <w:r>
        <w:rPr>
          <w:rFonts w:ascii="仿宋_GB2312" w:eastAsia="仿宋_GB2312" w:cs="仿宋_GB2312" w:hint="eastAsia"/>
          <w:bCs/>
          <w:color w:val="auto"/>
          <w:sz w:val="32"/>
          <w:szCs w:val="32"/>
        </w:rPr>
        <w:t>无。</w:t>
      </w:r>
    </w:p>
    <w:p>
      <w:pPr>
        <w:autoSpaceDE w:val="0"/>
        <w:autoSpaceDN w:val="0"/>
        <w:adjustRightInd w:val="0"/>
        <w:snapToGrid w:val="0"/>
        <w:spacing w:line="353" w:lineRule="auto"/>
        <w:ind w:firstLineChars="200" w:firstLine="640"/>
        <w:jc w:val="left"/>
        <w:outlineLvl w:val="2"/>
        <w:rPr>
          <w:rFonts w:ascii="仿宋" w:eastAsia="仿宋"/>
          <w:b/>
          <w:color w:val="auto"/>
          <w:sz w:val="32"/>
          <w:szCs w:val="32"/>
        </w:rPr>
      </w:pPr>
      <w:r>
        <w:rPr>
          <w:rFonts w:ascii="仿宋" w:eastAsia="仿宋" w:hint="eastAsia"/>
          <w:b/>
          <w:color w:val="auto"/>
          <w:sz w:val="32"/>
          <w:szCs w:val="32"/>
        </w:rPr>
        <w:t>（四）预算绩效管理情况。</w:t>
      </w:r>
    </w:p>
    <w:p>
      <w:pPr>
        <w:adjustRightInd w:val="0"/>
        <w:snapToGrid w:val="0"/>
        <w:spacing w:line="353" w:lineRule="auto"/>
        <w:ind w:firstLineChars="200" w:firstLine="640"/>
        <w:rPr>
          <w:rFonts w:eastAsia="仿宋_GB2312" w:cs="仿宋_GB2312" w:hint="eastAsia"/>
          <w:sz w:val="32"/>
          <w:szCs w:val="32"/>
        </w:rPr>
      </w:pPr>
      <w:r>
        <w:rPr>
          <w:rFonts w:eastAsia="仿宋_GB2312" w:cs="仿宋_GB2312" w:hint="eastAsia"/>
          <w:sz w:val="32"/>
          <w:szCs w:val="32"/>
        </w:rPr>
        <w:t>根据预算绩效管理要求，本部门（单位）在年初预算编制阶段，对</w:t>
      </w:r>
      <w:r>
        <w:rPr>
          <w:rFonts w:eastAsia="仿宋_GB2312" w:cs="仿宋_GB2312" w:hint="eastAsia"/>
          <w:sz w:val="32"/>
          <w:szCs w:val="32"/>
          <w:lang w:val="en-US" w:eastAsia="zh-CN"/>
        </w:rPr>
        <w:t>6</w:t>
      </w:r>
      <w:r>
        <w:rPr>
          <w:rFonts w:eastAsia="仿宋_GB2312" w:cs="仿宋_GB2312" w:hint="eastAsia"/>
          <w:sz w:val="32"/>
          <w:szCs w:val="32"/>
        </w:rPr>
        <w:t>个项目编制了绩效目标，预算批复</w:t>
      </w:r>
      <w:r>
        <w:rPr>
          <w:rFonts w:eastAsia="仿宋_GB2312" w:cs="仿宋_GB2312" w:hint="eastAsia"/>
          <w:sz w:val="32"/>
          <w:szCs w:val="32"/>
          <w:lang w:val="en-US" w:eastAsia="zh-CN"/>
        </w:rPr>
        <w:t>2</w:t>
      </w:r>
      <w:r>
        <w:rPr>
          <w:rFonts w:eastAsia="仿宋_GB2312" w:cs="仿宋_GB2312" w:hint="eastAsia"/>
          <w:sz w:val="32"/>
          <w:szCs w:val="32"/>
        </w:rPr>
        <w:t>个项目，</w:t>
      </w:r>
      <w:r>
        <w:rPr>
          <w:rFonts w:eastAsia="仿宋_GB2312" w:cs="仿宋_GB2312" w:hint="eastAsia"/>
          <w:sz w:val="32"/>
          <w:szCs w:val="32"/>
          <w:lang w:val="en-US" w:eastAsia="zh-CN"/>
        </w:rPr>
        <w:t>后又</w:t>
      </w:r>
      <w:r>
        <w:rPr>
          <w:rFonts w:eastAsia="仿宋_GB2312" w:cs="仿宋_GB2312" w:hint="eastAsia"/>
          <w:sz w:val="32"/>
          <w:szCs w:val="32"/>
        </w:rPr>
        <w:t>追加</w:t>
      </w:r>
      <w:r>
        <w:rPr>
          <w:rFonts w:eastAsia="仿宋_GB2312" w:cs="仿宋_GB2312" w:hint="eastAsia"/>
          <w:sz w:val="32"/>
          <w:szCs w:val="32"/>
          <w:lang w:val="en-US" w:eastAsia="zh-CN"/>
        </w:rPr>
        <w:t>招商引资、</w:t>
      </w:r>
      <w:r>
        <w:rPr>
          <w:rFonts w:eastAsia="仿宋_GB2312" w:cs="仿宋_GB2312" w:hint="eastAsia"/>
          <w:sz w:val="32"/>
          <w:szCs w:val="32"/>
        </w:rPr>
        <w:t>儿童福利、</w:t>
      </w:r>
      <w:r>
        <w:rPr>
          <w:rFonts w:eastAsia="仿宋_GB2312" w:cs="仿宋_GB2312" w:hint="eastAsia"/>
          <w:sz w:val="32"/>
          <w:szCs w:val="32"/>
          <w:lang w:val="en-US" w:eastAsia="zh-CN"/>
        </w:rPr>
        <w:t>金融部门其他监管支出、</w:t>
      </w:r>
      <w:r>
        <w:rPr>
          <w:rFonts w:eastAsia="仿宋_GB2312" w:cs="仿宋_GB2312" w:hint="eastAsia"/>
          <w:sz w:val="32"/>
          <w:szCs w:val="32"/>
        </w:rPr>
        <w:t>一般行政管理事务</w:t>
      </w:r>
      <w:r>
        <w:rPr>
          <w:rFonts w:eastAsia="仿宋_GB2312" w:cs="仿宋_GB2312" w:hint="eastAsia"/>
          <w:sz w:val="32"/>
          <w:szCs w:val="32"/>
          <w:lang w:val="en-US" w:eastAsia="zh-CN"/>
        </w:rPr>
        <w:t>和公务接待费5</w:t>
      </w:r>
      <w:r>
        <w:rPr>
          <w:rFonts w:eastAsia="仿宋_GB2312" w:cs="仿宋_GB2312" w:hint="eastAsia"/>
          <w:sz w:val="32"/>
          <w:szCs w:val="32"/>
        </w:rPr>
        <w:t>个项目。预算执行中，对项目开展绩效监控，年终执行完毕后，对</w:t>
      </w:r>
      <w:r>
        <w:rPr>
          <w:rFonts w:eastAsia="仿宋_GB2312" w:cs="仿宋_GB2312" w:hint="eastAsia"/>
          <w:sz w:val="32"/>
          <w:szCs w:val="32"/>
          <w:lang w:val="en-US" w:eastAsia="zh-CN"/>
        </w:rPr>
        <w:t>7</w:t>
      </w:r>
      <w:r>
        <w:rPr>
          <w:rFonts w:eastAsia="仿宋_GB2312" w:cs="仿宋_GB2312" w:hint="eastAsia"/>
          <w:sz w:val="32"/>
          <w:szCs w:val="32"/>
        </w:rPr>
        <w:t>个项目开展了绩效目标完成情况自评。</w:t>
      </w:r>
    </w:p>
    <w:p>
      <w:pPr>
        <w:adjustRightInd w:val="0"/>
        <w:snapToGrid w:val="0"/>
        <w:spacing w:line="353" w:lineRule="auto"/>
        <w:ind w:firstLine="624"/>
        <w:rPr>
          <w:rFonts w:eastAsia="仿宋_GB2312" w:hint="eastAsia"/>
          <w:sz w:val="32"/>
          <w:szCs w:val="32"/>
        </w:rPr>
      </w:pPr>
      <w:r>
        <w:rPr>
          <w:rFonts w:eastAsia="仿宋_GB2312" w:cs="仿宋_GB2312" w:hint="eastAsia"/>
          <w:sz w:val="32"/>
          <w:szCs w:val="32"/>
        </w:rPr>
        <w:t>本部门按要求对202</w:t>
      </w:r>
      <w:r>
        <w:rPr>
          <w:rFonts w:eastAsia="仿宋_GB2312" w:cs="仿宋_GB2312" w:hint="eastAsia"/>
          <w:sz w:val="32"/>
          <w:szCs w:val="32"/>
          <w:lang w:val="en-US" w:eastAsia="zh-CN"/>
        </w:rPr>
        <w:t>1</w:t>
      </w:r>
      <w:r>
        <w:rPr>
          <w:rFonts w:eastAsia="仿宋_GB2312" w:cs="仿宋_GB2312" w:hint="eastAsia"/>
          <w:sz w:val="32"/>
          <w:szCs w:val="32"/>
        </w:rPr>
        <w:t>年部门整体支出开展绩效自评，从评价情况来看</w:t>
      </w:r>
      <w:r>
        <w:rPr>
          <w:rFonts w:eastAsia="仿宋_GB2312" w:hint="eastAsia"/>
          <w:sz w:val="32"/>
          <w:szCs w:val="32"/>
        </w:rPr>
        <w:t>整体绩效目标依据充分，符合客观实际，用以反映和考核部门整体绩效目标与部门履职、年度工作任务情况相符。制定的目标符合国家法律法规、国民经济和社会发展总体规划，符合部门“三定”方案确定的职责。依据整体绩效目标所设定绩效指标清晰、细化、可衡量。本年一般公共预算财政拨款收入</w:t>
      </w:r>
      <w:r>
        <w:rPr>
          <w:rFonts w:eastAsia="仿宋_GB2312" w:hint="eastAsia"/>
          <w:sz w:val="32"/>
          <w:szCs w:val="32"/>
          <w:lang w:val="en-US" w:eastAsia="zh-CN"/>
        </w:rPr>
        <w:t>294.78</w:t>
      </w:r>
      <w:r>
        <w:rPr>
          <w:rFonts w:eastAsia="仿宋_GB2312" w:hint="eastAsia"/>
          <w:sz w:val="32"/>
          <w:szCs w:val="32"/>
        </w:rPr>
        <w:t>万元，支出</w:t>
      </w:r>
      <w:r>
        <w:rPr>
          <w:rFonts w:eastAsia="仿宋_GB2312" w:hint="eastAsia"/>
          <w:sz w:val="32"/>
          <w:szCs w:val="32"/>
          <w:lang w:val="en-US" w:eastAsia="zh-CN"/>
        </w:rPr>
        <w:t>294.78</w:t>
      </w:r>
      <w:r>
        <w:rPr>
          <w:rFonts w:eastAsia="仿宋_GB2312" w:hint="eastAsia"/>
          <w:sz w:val="32"/>
          <w:szCs w:val="32"/>
        </w:rPr>
        <w:t>万元，完成预算的100%。本年度无违规记录。</w:t>
      </w:r>
    </w:p>
    <w:p>
      <w:pPr>
        <w:adjustRightInd w:val="0"/>
        <w:snapToGrid w:val="0"/>
        <w:spacing w:line="353" w:lineRule="auto"/>
        <w:ind w:firstLineChars="200" w:firstLine="640"/>
        <w:rPr>
          <w:rFonts w:eastAsia="仿宋_GB2312" w:cs="仿宋_GB2312" w:hint="eastAsia"/>
          <w:sz w:val="32"/>
          <w:szCs w:val="32"/>
        </w:rPr>
      </w:pPr>
      <w:r>
        <w:rPr>
          <w:rFonts w:eastAsia="仿宋_GB2312" w:cs="楷体_GB2312"/>
          <w:sz w:val="32"/>
          <w:szCs w:val="32"/>
        </w:rPr>
        <w:t>1.</w:t>
      </w:r>
      <w:r>
        <w:rPr>
          <w:rFonts w:eastAsia="仿宋_GB2312" w:cs="楷体_GB2312" w:hint="eastAsia"/>
          <w:sz w:val="32"/>
          <w:szCs w:val="32"/>
        </w:rPr>
        <w:t>项目绩效目标完成情况。</w:t>
      </w:r>
    </w:p>
    <w:p>
      <w:pPr>
        <w:adjustRightInd w:val="0"/>
        <w:snapToGrid w:val="0"/>
        <w:spacing w:line="353" w:lineRule="auto"/>
        <w:ind w:firstLineChars="200" w:firstLine="640"/>
        <w:rPr>
          <w:rFonts w:eastAsia="仿宋_GB2312" w:cs="仿宋_GB2312" w:hint="eastAsia"/>
          <w:sz w:val="32"/>
          <w:szCs w:val="32"/>
        </w:rPr>
      </w:pPr>
      <w:r>
        <w:rPr>
          <w:rFonts w:eastAsia="仿宋_GB2312" w:cs="仿宋_GB2312"/>
          <w:sz w:val="32"/>
          <w:szCs w:val="32"/>
        </w:rPr>
        <w:t>2.</w:t>
      </w:r>
      <w:r>
        <w:rPr>
          <w:rFonts w:eastAsia="仿宋_GB2312" w:cs="仿宋_GB2312" w:hint="eastAsia"/>
          <w:sz w:val="32"/>
          <w:szCs w:val="32"/>
        </w:rPr>
        <w:t>本部门在202</w:t>
      </w:r>
      <w:r>
        <w:rPr>
          <w:rFonts w:eastAsia="仿宋_GB2312" w:cs="仿宋_GB2312" w:hint="eastAsia"/>
          <w:sz w:val="32"/>
          <w:szCs w:val="32"/>
          <w:lang w:val="en-US" w:eastAsia="zh-CN"/>
        </w:rPr>
        <w:t>1</w:t>
      </w:r>
      <w:r>
        <w:rPr>
          <w:rFonts w:eastAsia="仿宋_GB2312" w:cs="仿宋_GB2312" w:hint="eastAsia"/>
          <w:sz w:val="32"/>
          <w:szCs w:val="32"/>
        </w:rPr>
        <w:t>年度部门决算中反映“一般公共服务支出”“儿童福利”“一般行政管理事务”“金融部门其他行政支出”等</w:t>
      </w:r>
      <w:r>
        <w:rPr>
          <w:rFonts w:eastAsia="仿宋_GB2312" w:cs="仿宋_GB2312" w:hint="eastAsia"/>
          <w:sz w:val="32"/>
          <w:szCs w:val="32"/>
          <w:lang w:val="en-US" w:eastAsia="zh-CN"/>
        </w:rPr>
        <w:t>7</w:t>
      </w:r>
      <w:r>
        <w:rPr>
          <w:rFonts w:eastAsia="仿宋_GB2312" w:cs="仿宋_GB2312" w:hint="eastAsia"/>
          <w:sz w:val="32"/>
          <w:szCs w:val="32"/>
        </w:rPr>
        <w:t>个项目绩效目标实际完成情况。</w:t>
      </w:r>
    </w:p>
    <w:p>
      <w:pPr>
        <w:adjustRightInd w:val="0"/>
        <w:snapToGrid w:val="0"/>
        <w:spacing w:line="353" w:lineRule="auto"/>
        <w:ind w:left="0" w:firstLineChars="200" w:firstLine="640"/>
        <w:rPr>
          <w:rFonts w:eastAsia="仿宋_GB2312" w:hint="eastAsia"/>
          <w:sz w:val="32"/>
          <w:szCs w:val="32"/>
        </w:rPr>
      </w:pPr>
      <w:r>
        <w:rPr>
          <w:rFonts w:eastAsia="仿宋_GB2312" w:cs="仿宋_GB2312" w:hint="eastAsia"/>
          <w:sz w:val="32"/>
          <w:szCs w:val="32"/>
        </w:rPr>
        <w:t>（1）其他组织事务支出项目绩效目标完成情况。项目全年预算数</w:t>
      </w:r>
      <w:r>
        <w:rPr>
          <w:rFonts w:eastAsia="仿宋_GB2312" w:cs="仿宋_GB2312" w:hint="eastAsia"/>
          <w:sz w:val="32"/>
          <w:szCs w:val="32"/>
          <w:lang w:val="en-US" w:eastAsia="zh-CN"/>
        </w:rPr>
        <w:t>6.85</w:t>
      </w:r>
      <w:r>
        <w:rPr>
          <w:rFonts w:eastAsia="仿宋_GB2312" w:cs="仿宋_GB2312" w:hint="eastAsia"/>
          <w:sz w:val="32"/>
          <w:szCs w:val="32"/>
        </w:rPr>
        <w:t>万元，执行</w:t>
      </w:r>
      <w:r>
        <w:rPr>
          <w:rFonts w:eastAsia="仿宋_GB2312" w:cs="仿宋_GB2312" w:hint="eastAsia"/>
          <w:sz w:val="32"/>
          <w:szCs w:val="32"/>
          <w:lang w:val="en-US" w:eastAsia="zh-CN"/>
        </w:rPr>
        <w:t>6.85</w:t>
      </w:r>
      <w:r>
        <w:rPr>
          <w:rFonts w:eastAsia="仿宋_GB2312" w:cs="仿宋_GB2312" w:hint="eastAsia"/>
          <w:sz w:val="32"/>
          <w:szCs w:val="32"/>
        </w:rPr>
        <w:t>万元，完成预算的100%。</w:t>
      </w:r>
      <w:r>
        <w:rPr>
          <w:rFonts w:eastAsia="仿宋_GB2312" w:hint="eastAsia"/>
          <w:sz w:val="32"/>
          <w:szCs w:val="32"/>
        </w:rPr>
        <w:t>保证了全年的援藏工作及扶贫驻村工作圆满完成。</w:t>
      </w:r>
    </w:p>
    <w:p>
      <w:pPr>
        <w:pStyle w:val="15"/>
        <w:adjustRightInd w:val="0"/>
        <w:snapToGrid w:val="0"/>
        <w:spacing w:beforeLines="0" w:before="0" w:line="353" w:lineRule="auto"/>
        <w:rPr>
          <w:rFonts w:hint="eastAsia"/>
          <w:color w:val="auto"/>
        </w:rPr>
      </w:pPr>
    </w:p>
    <w:tbl>
      <w:tblPr>
        <w:tblpPr w:leftFromText="180" w:rightFromText="180" w:vertAnchor="text" w:horzAnchor="page" w:tblpX="1597" w:tblpY="262"/>
        <w:tblOverlap w:val="never"/>
        <w:tblW w:w="88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50"/>
        <w:gridCol w:w="1229"/>
        <w:gridCol w:w="923"/>
        <w:gridCol w:w="2152"/>
        <w:gridCol w:w="2153"/>
        <w:gridCol w:w="1993"/>
      </w:tblGrid>
      <w:tr>
        <w:trPr>
          <w:trHeight w:val="1244"/>
        </w:trPr>
        <w:tc>
          <w:tcPr>
            <w:tcW w:w="880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center"/>
              <w:textAlignment w:val="center"/>
              <w:rPr>
                <w:rFonts w:ascii="宋体" w:cs="宋体"/>
                <w:color w:val="auto"/>
                <w:sz w:val="36"/>
                <w:szCs w:val="36"/>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hint="eastAsia"/>
                <w:color w:val="auto"/>
                <w:kern w:val="0"/>
                <w:sz w:val="36"/>
                <w:szCs w:val="36"/>
              </w:rPr>
              <w:t>年度</w:t>
            </w:r>
            <w:r>
              <w:rPr>
                <w:rFonts w:ascii="宋体" w:cs="宋体"/>
                <w:color w:val="auto"/>
                <w:kern w:val="0"/>
                <w:sz w:val="36"/>
                <w:szCs w:val="36"/>
              </w:rPr>
              <w:t>)</w:t>
            </w:r>
          </w:p>
        </w:tc>
      </w:tr>
      <w:tr>
        <w:trPr>
          <w:trHeight w:val="332"/>
        </w:trPr>
        <w:tc>
          <w:tcPr>
            <w:tcW w:w="250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629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其他组织事务支出</w:t>
            </w:r>
          </w:p>
        </w:tc>
      </w:tr>
      <w:tr>
        <w:trPr>
          <w:trHeight w:val="332"/>
        </w:trPr>
        <w:tc>
          <w:tcPr>
            <w:tcW w:w="250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629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332"/>
        </w:trPr>
        <w:tc>
          <w:tcPr>
            <w:tcW w:w="3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15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6.85</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6.85</w:t>
            </w:r>
          </w:p>
        </w:tc>
      </w:tr>
      <w:tr>
        <w:trPr>
          <w:trHeight w:val="332"/>
        </w:trPr>
        <w:tc>
          <w:tcPr>
            <w:tcW w:w="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15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6.85</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6.85</w:t>
            </w:r>
          </w:p>
        </w:tc>
      </w:tr>
      <w:tr>
        <w:trPr>
          <w:trHeight w:val="1818"/>
        </w:trPr>
        <w:tc>
          <w:tcPr>
            <w:tcW w:w="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15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332"/>
        </w:trPr>
        <w:tc>
          <w:tcPr>
            <w:tcW w:w="3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3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1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2150"/>
        </w:trPr>
        <w:tc>
          <w:tcPr>
            <w:tcW w:w="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30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完成凉山州木里县黄泥巴村援藏工作任务和米易县白坡彝族乡油房村脱贫攻坚任务。</w:t>
            </w:r>
          </w:p>
        </w:tc>
        <w:tc>
          <w:tcPr>
            <w:tcW w:w="41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凉山州木里县黄泥巴村和米易县白坡彝族乡油房村巩固脱贫攻坚成果，实现脱贫攻坚与乡村振兴有效衔接。</w:t>
            </w:r>
          </w:p>
        </w:tc>
      </w:tr>
      <w:tr>
        <w:trPr>
          <w:trHeight w:val="1051"/>
        </w:trPr>
        <w:tc>
          <w:tcPr>
            <w:tcW w:w="35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1302"/>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eastAsia="zh-CN"/>
              </w:rPr>
            </w:pPr>
            <w:r>
              <w:rPr>
                <w:rFonts w:ascii="宋体" w:cs="宋体" w:hint="eastAsia"/>
                <w:color w:val="auto"/>
                <w:sz w:val="24"/>
              </w:rPr>
              <w:t>指标</w:t>
            </w:r>
            <w:r>
              <w:rPr>
                <w:rFonts w:ascii="宋体" w:cs="宋体" w:hint="eastAsia"/>
                <w:color w:val="auto"/>
                <w:sz w:val="24"/>
                <w:lang w:val="en-US" w:eastAsia="zh-CN"/>
              </w:rPr>
              <w:t>1</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w:t>
            </w:r>
            <w:r>
              <w:rPr>
                <w:rFonts w:ascii="宋体" w:cs="宋体" w:hint="eastAsia"/>
                <w:color w:val="auto"/>
                <w:sz w:val="24"/>
                <w:lang w:eastAsia="zh-CN"/>
              </w:rPr>
              <w:t>黄泥巴村</w:t>
            </w:r>
            <w:r>
              <w:rPr>
                <w:rFonts w:ascii="宋体" w:cs="宋体" w:hint="eastAsia"/>
                <w:color w:val="auto"/>
                <w:sz w:val="24"/>
              </w:rPr>
              <w:t>扶贫工作</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w:t>
            </w:r>
            <w:r>
              <w:rPr>
                <w:rFonts w:ascii="宋体" w:cs="宋体" w:hint="eastAsia"/>
                <w:color w:val="auto"/>
                <w:sz w:val="24"/>
                <w:lang w:eastAsia="zh-CN"/>
              </w:rPr>
              <w:t>黄泥巴村</w:t>
            </w:r>
            <w:r>
              <w:rPr>
                <w:rFonts w:ascii="宋体" w:cs="宋体" w:hint="eastAsia"/>
                <w:color w:val="auto"/>
                <w:sz w:val="24"/>
              </w:rPr>
              <w:t>扶贫工作</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eastAsia="zh-CN"/>
              </w:rPr>
            </w:pPr>
            <w:r>
              <w:rPr>
                <w:rFonts w:ascii="宋体" w:cs="宋体" w:hint="eastAsia"/>
                <w:color w:val="auto"/>
                <w:sz w:val="24"/>
              </w:rPr>
              <w:t>指标</w:t>
            </w:r>
            <w:r>
              <w:rPr>
                <w:rFonts w:ascii="宋体" w:cs="宋体" w:hint="eastAsia"/>
                <w:color w:val="auto"/>
                <w:sz w:val="24"/>
                <w:lang w:val="en-US" w:eastAsia="zh-CN"/>
              </w:rPr>
              <w:t>2</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完成油房村扶贫工作</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完成油房村扶贫工作</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完成时效</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援藏干部经费</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5.</w:t>
            </w:r>
            <w:r>
              <w:rPr>
                <w:rFonts w:ascii="宋体" w:cs="宋体" w:hint="eastAsia"/>
                <w:color w:val="auto"/>
                <w:sz w:val="24"/>
                <w:lang w:val="en-US" w:eastAsia="zh-CN"/>
              </w:rPr>
              <w:t>59</w:t>
            </w:r>
            <w:r>
              <w:rPr>
                <w:rFonts w:ascii="宋体" w:cs="宋体" w:hint="eastAsia"/>
                <w:color w:val="auto"/>
                <w:sz w:val="24"/>
              </w:rPr>
              <w:t>万元</w:t>
            </w:r>
          </w:p>
        </w:tc>
      </w:tr>
      <w:tr>
        <w:trPr>
          <w:trHeight w:val="1051"/>
        </w:trPr>
        <w:tc>
          <w:tcPr>
            <w:tcW w:w="350" w:type="dxa"/>
            <w:vMerge/>
            <w:tcBorders>
              <w:left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eastAsia="zh-CN"/>
              </w:rPr>
            </w:pPr>
            <w:r>
              <w:rPr>
                <w:rFonts w:ascii="宋体" w:cs="宋体" w:hint="eastAsia"/>
                <w:color w:val="auto"/>
                <w:sz w:val="24"/>
              </w:rPr>
              <w:t>指标</w:t>
            </w:r>
            <w:r>
              <w:rPr>
                <w:rFonts w:ascii="宋体" w:cs="宋体" w:hint="eastAsia"/>
                <w:color w:val="auto"/>
                <w:sz w:val="24"/>
                <w:lang w:val="en-US" w:eastAsia="zh-CN"/>
              </w:rPr>
              <w:t>2</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驻村干部经费</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1.26</w:t>
            </w:r>
            <w:r>
              <w:rPr>
                <w:rFonts w:ascii="宋体" w:cs="宋体" w:hint="eastAsia"/>
                <w:color w:val="auto"/>
                <w:sz w:val="24"/>
              </w:rPr>
              <w:t>万元</w:t>
            </w:r>
          </w:p>
        </w:tc>
      </w:tr>
      <w:tr>
        <w:trPr>
          <w:trHeight w:val="1068"/>
        </w:trPr>
        <w:tc>
          <w:tcPr>
            <w:tcW w:w="35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2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满意度指标</w:t>
            </w:r>
          </w:p>
        </w:tc>
        <w:tc>
          <w:tcPr>
            <w:tcW w:w="92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15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53" w:lineRule="auto"/>
              <w:jc w:val="center"/>
              <w:textAlignment w:val="center"/>
              <w:rPr>
                <w:rFonts w:ascii="宋体" w:cs="宋体"/>
                <w:color w:val="auto"/>
                <w:sz w:val="24"/>
              </w:rPr>
            </w:pPr>
            <w:r>
              <w:rPr>
                <w:rFonts w:ascii="宋体" w:cs="宋体" w:hint="eastAsia"/>
                <w:color w:val="auto"/>
                <w:sz w:val="24"/>
              </w:rPr>
              <w:t>服务对象满意度指标</w:t>
            </w:r>
          </w:p>
        </w:tc>
        <w:tc>
          <w:tcPr>
            <w:tcW w:w="21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53" w:lineRule="auto"/>
              <w:jc w:val="center"/>
              <w:textAlignment w:val="center"/>
              <w:rPr>
                <w:rFonts w:ascii="宋体" w:cs="宋体"/>
                <w:color w:val="auto"/>
                <w:sz w:val="24"/>
              </w:rPr>
            </w:pPr>
            <w:r>
              <w:rPr>
                <w:rFonts w:ascii="宋体" w:cs="宋体" w:hint="eastAsia"/>
                <w:color w:val="auto"/>
                <w:sz w:val="24"/>
              </w:rPr>
              <w:t>群众满意度≥95%</w:t>
            </w:r>
          </w:p>
        </w:tc>
        <w:tc>
          <w:tcPr>
            <w:tcW w:w="19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353" w:lineRule="auto"/>
              <w:jc w:val="center"/>
              <w:textAlignment w:val="center"/>
              <w:rPr>
                <w:rFonts w:ascii="宋体" w:cs="宋体"/>
                <w:color w:val="auto"/>
                <w:sz w:val="24"/>
              </w:rPr>
            </w:pPr>
            <w:r>
              <w:rPr>
                <w:rFonts w:ascii="宋体" w:cs="宋体" w:hint="eastAsia"/>
                <w:color w:val="auto"/>
                <w:sz w:val="24"/>
              </w:rPr>
              <w:t>群众满意度≥95%</w:t>
            </w:r>
          </w:p>
        </w:tc>
      </w:tr>
    </w:tbl>
    <w:p>
      <w:pPr>
        <w:adjustRightInd w:val="0"/>
        <w:snapToGrid w:val="0"/>
        <w:spacing w:line="353" w:lineRule="auto"/>
        <w:ind w:left="0"/>
        <w:rPr>
          <w:rFonts w:eastAsia="仿宋_GB2312"/>
          <w:color w:val="auto"/>
          <w:sz w:val="32"/>
          <w:szCs w:val="32"/>
        </w:rPr>
      </w:pPr>
    </w:p>
    <w:p>
      <w:pPr>
        <w:adjustRightInd w:val="0"/>
        <w:snapToGrid w:val="0"/>
        <w:spacing w:line="353" w:lineRule="auto"/>
        <w:ind w:firstLineChars="200" w:firstLine="640"/>
        <w:rPr>
          <w:rFonts w:eastAsia="仿宋_GB2312"/>
          <w:color w:val="auto"/>
          <w:sz w:val="32"/>
          <w:szCs w:val="32"/>
        </w:rPr>
      </w:pPr>
      <w:r>
        <w:rPr>
          <w:rFonts w:eastAsia="仿宋_GB2312"/>
          <w:color w:val="auto"/>
          <w:sz w:val="32"/>
          <w:szCs w:val="32"/>
        </w:rPr>
        <w:t>（2）儿童福利项目绩效目标完成情况。项目全年预算数0.</w:t>
      </w:r>
      <w:r>
        <w:rPr>
          <w:rFonts w:eastAsia="仿宋_GB2312" w:hint="eastAsia"/>
          <w:color w:val="auto"/>
          <w:sz w:val="32"/>
          <w:szCs w:val="32"/>
          <w:lang w:val="en-US" w:eastAsia="zh-CN"/>
        </w:rPr>
        <w:t>2</w:t>
      </w:r>
      <w:r>
        <w:rPr>
          <w:rFonts w:eastAsia="仿宋_GB2312"/>
          <w:color w:val="auto"/>
          <w:sz w:val="32"/>
          <w:szCs w:val="32"/>
        </w:rPr>
        <w:t>万元，执行0.</w:t>
      </w:r>
      <w:r>
        <w:rPr>
          <w:rFonts w:eastAsia="仿宋_GB2312" w:hint="eastAsia"/>
          <w:color w:val="auto"/>
          <w:sz w:val="32"/>
          <w:szCs w:val="32"/>
          <w:lang w:val="en-US" w:eastAsia="zh-CN"/>
        </w:rPr>
        <w:t>2</w:t>
      </w:r>
      <w:r>
        <w:rPr>
          <w:rFonts w:eastAsia="仿宋_GB2312"/>
          <w:color w:val="auto"/>
          <w:sz w:val="32"/>
          <w:szCs w:val="32"/>
        </w:rPr>
        <w:t>万元，完成预算100%。</w:t>
      </w:r>
    </w:p>
    <w:tbl>
      <w:tblPr>
        <w:tblpPr w:leftFromText="180" w:rightFromText="180" w:vertAnchor="text" w:horzAnchor="page" w:tblpX="1117" w:tblpY="42"/>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338"/>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right"/>
              <w:rPr>
                <w:rFonts w:eastAsia="宋体"/>
                <w:color w:val="auto"/>
                <w:sz w:val="32"/>
                <w:szCs w:val="32"/>
                <w:lang w:val="en-US" w:eastAsia="zh-CN"/>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color w:val="auto"/>
                <w:kern w:val="0"/>
                <w:sz w:val="36"/>
                <w:szCs w:val="36"/>
              </w:rPr>
              <w:t>年度)</w:t>
            </w:r>
            <w:r>
              <w:rPr>
                <w:rFonts w:ascii="宋体" w:cs="宋体" w:hint="eastAsia"/>
                <w:color w:val="auto"/>
                <w:kern w:val="0"/>
                <w:sz w:val="36"/>
                <w:szCs w:val="36"/>
                <w:lang w:val="en-US" w:eastAsia="zh-CN"/>
              </w:rPr>
              <w:t xml:space="preserve">               </w:t>
            </w:r>
            <w:r>
              <w:rPr>
                <w:rFonts w:ascii="宋体" w:cs="宋体" w:hint="eastAsia"/>
                <w:color w:val="auto"/>
                <w:sz w:val="24"/>
                <w:lang w:val="en-US" w:eastAsia="zh-CN"/>
              </w:rPr>
              <w:t>单位：万元</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关工委经费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0.2</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0.2</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90"/>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保障关工委活动正常开展</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组织开展青少年活动</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订关工委书籍3套</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3套</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组织青少年活动</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3次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ascii="宋体" w:eastAsia="宋体" w:cs="宋体" w:hint="eastAsia"/>
                <w:i w:val="0"/>
                <w:iCs w:val="0"/>
                <w:color w:val="auto"/>
                <w:kern w:val="2"/>
                <w:sz w:val="24"/>
                <w:szCs w:val="24"/>
                <w:u w:val="none"/>
                <w:lang w:val="en-US" w:eastAsia="zh-CN" w:bidi="ar-SA"/>
              </w:rPr>
            </w:pPr>
            <w:r>
              <w:rPr>
                <w:rFonts w:ascii="宋体" w:eastAsia="宋体" w:cs="宋体" w:hint="eastAsia"/>
                <w:i w:val="0"/>
                <w:iCs w:val="0"/>
                <w:color w:val="auto"/>
                <w:kern w:val="0"/>
                <w:sz w:val="24"/>
                <w:szCs w:val="24"/>
                <w:u w:val="none"/>
                <w:lang w:val="en-US" w:eastAsia="zh-CN"/>
              </w:rPr>
              <w:t>订关工委书籍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eastAsia="宋体" w:cs="宋体" w:hint="eastAsia"/>
                <w:i w:val="0"/>
                <w:iCs w:val="0"/>
                <w:color w:val="auto"/>
                <w:kern w:val="0"/>
                <w:sz w:val="24"/>
                <w:szCs w:val="24"/>
                <w:u w:val="none"/>
                <w:lang w:val="en-US" w:eastAsia="zh-CN"/>
              </w:rPr>
              <w:t>印刷费</w:t>
            </w:r>
            <w:r>
              <w:rPr>
                <w:rFonts w:ascii="宋体" w:cs="宋体" w:hint="eastAsia"/>
                <w:i w:val="0"/>
                <w:iCs w:val="0"/>
                <w:color w:val="auto"/>
                <w:kern w:val="0"/>
                <w:sz w:val="24"/>
                <w:szCs w:val="24"/>
                <w:u w:val="none"/>
                <w:lang w:val="en-US" w:eastAsia="zh-CN"/>
              </w:rPr>
              <w:t>0.11</w:t>
            </w:r>
            <w:r>
              <w:rPr>
                <w:rFonts w:ascii="宋体" w:eastAsia="宋体" w:cs="宋体" w:hint="eastAsia"/>
                <w:i w:val="0"/>
                <w:iCs w:val="0"/>
                <w:color w:val="auto"/>
                <w:kern w:val="0"/>
                <w:sz w:val="24"/>
                <w:szCs w:val="24"/>
                <w:u w:val="none"/>
                <w:lang w:val="en-US" w:eastAsia="zh-CN"/>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eastAsia="宋体" w:cs="宋体"/>
                <w:color w:val="auto"/>
                <w:sz w:val="24"/>
                <w:lang w:val="en-US" w:eastAsia="zh-CN"/>
              </w:rPr>
              <w:t>关工委活动</w:t>
            </w:r>
            <w:r>
              <w:rPr>
                <w:rFonts w:ascii="宋体" w:cs="宋体" w:hint="eastAsia"/>
                <w:color w:val="auto"/>
                <w:sz w:val="24"/>
                <w:lang w:val="en-US" w:eastAsia="zh-CN"/>
              </w:rPr>
              <w:t>费</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办公经费</w:t>
            </w:r>
            <w:r>
              <w:rPr>
                <w:rFonts w:ascii="宋体" w:cs="宋体" w:hint="eastAsia"/>
                <w:color w:val="auto"/>
                <w:sz w:val="24"/>
                <w:lang w:val="en-US" w:eastAsia="zh-CN"/>
              </w:rPr>
              <w:t>0.09</w:t>
            </w:r>
            <w:r>
              <w:rPr>
                <w:rFonts w:ascii="宋体" w:cs="宋体" w:hint="eastAsia"/>
                <w:color w:val="auto"/>
                <w:sz w:val="24"/>
              </w:rPr>
              <w:t>万元，</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服务对象满意度指标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群众满意度≥95%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群众满意度≥95%</w:t>
            </w:r>
          </w:p>
        </w:tc>
      </w:tr>
    </w:tbl>
    <w:p>
      <w:pPr>
        <w:adjustRightInd w:val="0"/>
        <w:snapToGrid w:val="0"/>
        <w:spacing w:line="353" w:lineRule="auto"/>
        <w:rPr>
          <w:rFonts w:asci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353" w:lineRule="auto"/>
        <w:ind w:firstLineChars="200" w:firstLine="640"/>
        <w:textAlignment w:val="auto"/>
        <w:rPr>
          <w:rFonts w:eastAsia="仿宋_GB2312" w:hint="eastAsia"/>
          <w:color w:val="000000"/>
          <w:sz w:val="32"/>
          <w:szCs w:val="32"/>
          <w:lang w:eastAsia="zh-CN"/>
        </w:rPr>
      </w:pPr>
      <w:r>
        <w:rPr>
          <w:rFonts w:eastAsia="仿宋_GB2312" w:hint="eastAsia"/>
          <w:color w:val="auto"/>
          <w:sz w:val="32"/>
          <w:szCs w:val="32"/>
        </w:rPr>
        <w:t>（3）</w:t>
      </w:r>
      <w:r>
        <w:rPr>
          <w:rFonts w:eastAsia="仿宋_GB2312" w:hint="eastAsia"/>
          <w:color w:val="auto"/>
          <w:sz w:val="32"/>
          <w:szCs w:val="32"/>
          <w:lang w:val="en-US" w:eastAsia="zh-CN"/>
        </w:rPr>
        <w:t>招商引资</w:t>
      </w:r>
      <w:r>
        <w:rPr>
          <w:rFonts w:eastAsia="仿宋_GB2312"/>
          <w:color w:val="auto"/>
          <w:sz w:val="32"/>
          <w:szCs w:val="32"/>
        </w:rPr>
        <w:t>项目完成情况。项目全年预算</w:t>
      </w:r>
      <w:r>
        <w:rPr>
          <w:rFonts w:eastAsia="仿宋_GB2312" w:hint="eastAsia"/>
          <w:color w:val="auto"/>
          <w:sz w:val="32"/>
          <w:szCs w:val="32"/>
          <w:lang w:val="en-US" w:eastAsia="zh-CN"/>
        </w:rPr>
        <w:t>19.69</w:t>
      </w:r>
      <w:r>
        <w:rPr>
          <w:rFonts w:eastAsia="仿宋_GB2312" w:hint="eastAsia"/>
          <w:color w:val="auto"/>
          <w:sz w:val="32"/>
          <w:szCs w:val="32"/>
        </w:rPr>
        <w:t>万</w:t>
      </w:r>
      <w:r>
        <w:rPr>
          <w:rFonts w:eastAsia="仿宋_GB2312"/>
          <w:color w:val="auto"/>
          <w:sz w:val="32"/>
          <w:szCs w:val="32"/>
        </w:rPr>
        <w:t>元，执行</w:t>
      </w:r>
      <w:r>
        <w:rPr>
          <w:rFonts w:eastAsia="仿宋_GB2312" w:hint="eastAsia"/>
          <w:color w:val="auto"/>
          <w:sz w:val="32"/>
          <w:szCs w:val="32"/>
          <w:lang w:val="en-US" w:eastAsia="zh-CN"/>
        </w:rPr>
        <w:t>19.69</w:t>
      </w:r>
      <w:r>
        <w:rPr>
          <w:rFonts w:eastAsia="仿宋_GB2312" w:hint="eastAsia"/>
          <w:color w:val="auto"/>
          <w:sz w:val="32"/>
          <w:szCs w:val="32"/>
        </w:rPr>
        <w:t>万</w:t>
      </w:r>
      <w:r>
        <w:rPr>
          <w:rFonts w:eastAsia="仿宋_GB2312"/>
          <w:color w:val="auto"/>
          <w:sz w:val="32"/>
          <w:szCs w:val="32"/>
        </w:rPr>
        <w:t>元，完成预算100%，</w:t>
      </w:r>
      <w:r>
        <w:rPr>
          <w:rFonts w:eastAsia="仿宋_GB2312" w:hint="eastAsia"/>
          <w:color w:val="000000"/>
          <w:sz w:val="32"/>
          <w:szCs w:val="32"/>
        </w:rPr>
        <w:t>对接省级金融机构来攀展业</w:t>
      </w:r>
      <w:r>
        <w:rPr>
          <w:rFonts w:eastAsia="仿宋_GB2312" w:hint="eastAsia"/>
          <w:color w:val="000000"/>
          <w:sz w:val="32"/>
          <w:szCs w:val="32"/>
          <w:lang w:eastAsia="zh-CN"/>
        </w:rPr>
        <w:t>。</w:t>
      </w:r>
    </w:p>
    <w:tbl>
      <w:tblPr>
        <w:tblpPr w:leftFromText="180" w:rightFromText="180" w:vertAnchor="text" w:horzAnchor="page" w:tblpX="942" w:tblpY="232"/>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41"/>
        <w:gridCol w:w="2445"/>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000000"/>
                <w:kern w:val="0"/>
                <w:sz w:val="36"/>
                <w:szCs w:val="36"/>
                <w:lang w:eastAsia="zh-CN"/>
              </w:rPr>
            </w:pPr>
            <w:r>
              <w:rPr>
                <w:rFonts w:ascii="宋体" w:cs="宋体" w:hint="eastAsia"/>
                <w:b/>
                <w:bCs/>
                <w:color w:val="000000"/>
                <w:kern w:val="0"/>
                <w:sz w:val="36"/>
                <w:szCs w:val="36"/>
              </w:rPr>
              <w:t>项目绩效目标完成情况表</w:t>
            </w:r>
          </w:p>
          <w:p>
            <w:pPr>
              <w:widowControl/>
              <w:adjustRightInd w:val="0"/>
              <w:snapToGrid w:val="0"/>
              <w:spacing w:line="353" w:lineRule="auto"/>
              <w:jc w:val="right"/>
              <w:textAlignment w:val="center"/>
              <w:rPr>
                <w:rFonts w:ascii="宋体" w:cs="宋体"/>
                <w:color w:val="000000"/>
                <w:sz w:val="36"/>
                <w:szCs w:val="36"/>
              </w:rPr>
            </w:pPr>
            <w:r>
              <w:rPr>
                <w:rFonts w:ascii="宋体" w:cs="宋体"/>
                <w:color w:val="000000"/>
                <w:kern w:val="0"/>
                <w:sz w:val="36"/>
                <w:szCs w:val="36"/>
              </w:rPr>
              <w:t>(202</w:t>
            </w:r>
            <w:r>
              <w:rPr>
                <w:rFonts w:ascii="宋体" w:cs="宋体" w:hint="eastAsia"/>
                <w:color w:val="000000"/>
                <w:kern w:val="0"/>
                <w:sz w:val="36"/>
                <w:szCs w:val="36"/>
                <w:lang w:val="en-US" w:eastAsia="zh-CN"/>
              </w:rPr>
              <w:t>1</w:t>
            </w:r>
            <w:r>
              <w:rPr>
                <w:rFonts w:ascii="宋体" w:cs="宋体"/>
                <w:color w:val="000000"/>
                <w:kern w:val="0"/>
                <w:sz w:val="36"/>
                <w:szCs w:val="36"/>
              </w:rPr>
              <w:t>年度)</w:t>
            </w:r>
            <w:r>
              <w:rPr>
                <w:rFonts w:ascii="宋体" w:cs="宋体" w:hint="eastAsia"/>
                <w:color w:val="000000"/>
                <w:kern w:val="0"/>
                <w:sz w:val="36"/>
                <w:szCs w:val="36"/>
                <w:lang w:val="en-US" w:eastAsia="zh-CN"/>
              </w:rPr>
              <w:t xml:space="preserve">               </w:t>
            </w:r>
            <w:r>
              <w:rPr>
                <w:rFonts w:ascii="宋体" w:cs="宋体" w:hint="eastAsia"/>
                <w:color w:val="000000"/>
                <w:sz w:val="24"/>
                <w:lang w:val="en-US" w:eastAsia="zh-CN"/>
              </w:rPr>
              <w:t>单位：万元</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招商引资</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19.69</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19.69</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19.69</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19.69</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3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8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33"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对接省级金融机构来攀展业</w:t>
            </w:r>
          </w:p>
        </w:tc>
        <w:tc>
          <w:tcPr>
            <w:tcW w:w="4837"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召开2021年度全市金融工作暨政银企对接会，推介重点项目43个，其中14个重大项目获得银行授信216.33亿元；与10家银行机构签订“十四五”战略合作协议，涵盖重大项目90个，总投资2,005亿元，意向融资1,308亿元。召开省级融担公司业务对接会，促成省农担在攀设立分公司，成都中小担、省信用再担保公司来攀展业。</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数量指标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hint="eastAsia"/>
                <w:color w:val="auto"/>
                <w:sz w:val="24"/>
                <w:lang w:val="en-US" w:eastAsia="zh-CN"/>
              </w:rPr>
              <w:t>完成次数</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hint="eastAsia"/>
                <w:color w:val="auto"/>
                <w:sz w:val="24"/>
              </w:rPr>
              <w:t>对接省级金融机构</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7次</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lang w:val="en-US" w:eastAsia="zh-CN"/>
              </w:rPr>
            </w:pPr>
            <w:r>
              <w:rPr>
                <w:rFonts w:ascii="宋体" w:cs="宋体" w:hint="eastAsia"/>
                <w:color w:val="auto"/>
                <w:sz w:val="24"/>
                <w:lang w:val="en-US" w:eastAsia="zh-CN"/>
              </w:rPr>
              <w:t>数量指标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hint="eastAsia"/>
                <w:sz w:val="24"/>
              </w:rPr>
            </w:pPr>
            <w:r>
              <w:rPr>
                <w:rFonts w:hint="eastAsia"/>
                <w:sz w:val="24"/>
              </w:rPr>
              <w:t>召开</w:t>
            </w:r>
            <w:r>
              <w:rPr>
                <w:rFonts w:hint="eastAsia"/>
                <w:sz w:val="24"/>
                <w:lang w:val="en-US" w:eastAsia="zh-CN"/>
              </w:rPr>
              <w:t>银企</w:t>
            </w:r>
            <w:r>
              <w:rPr>
                <w:rFonts w:hint="eastAsia"/>
                <w:sz w:val="24"/>
              </w:rPr>
              <w:t>对接会和业务对接会</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hint="eastAsia"/>
                <w:sz w:val="24"/>
              </w:rPr>
            </w:pPr>
            <w:r>
              <w:rPr>
                <w:rFonts w:hint="eastAsia"/>
                <w:sz w:val="24"/>
              </w:rPr>
              <w:t>召开</w:t>
            </w:r>
            <w:r>
              <w:rPr>
                <w:rFonts w:hint="eastAsia"/>
                <w:sz w:val="24"/>
                <w:lang w:val="en-US" w:eastAsia="zh-CN"/>
              </w:rPr>
              <w:t>银企</w:t>
            </w:r>
            <w:r>
              <w:rPr>
                <w:rFonts w:hint="eastAsia"/>
                <w:sz w:val="24"/>
              </w:rPr>
              <w:t>对接会和业务对接会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lang w:val="en-US" w:eastAsia="zh-CN"/>
              </w:rPr>
            </w:pPr>
            <w:r>
              <w:rPr>
                <w:rFonts w:cs="宋体" w:hint="eastAsia"/>
                <w:sz w:val="24"/>
                <w:lang w:val="en-US" w:eastAsia="zh-CN"/>
              </w:rPr>
              <w:t>2次</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0"/>
                <w:sz w:val="24"/>
                <w:szCs w:val="24"/>
                <w:lang w:val="en-US" w:eastAsia="zh-CN"/>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lang w:val="en-US" w:eastAsia="zh-CN"/>
              </w:rPr>
              <w:t>数量指标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lang w:val="en-US" w:eastAsia="zh-CN" w:bidi="ar-SA"/>
              </w:rPr>
            </w:pPr>
            <w:r>
              <w:rPr>
                <w:rFonts w:cs="宋体" w:hint="eastAsia"/>
                <w:sz w:val="24"/>
                <w:lang w:val="en-US" w:eastAsia="zh-CN"/>
              </w:rPr>
              <w:t>设备购置费</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仿宋" w:hint="eastAsia"/>
                <w:sz w:val="24"/>
                <w:lang w:val="en-US" w:eastAsia="zh-CN" w:bidi="ar-SA"/>
              </w:rPr>
            </w:pPr>
            <w:r>
              <w:rPr>
                <w:rFonts w:hint="eastAsia"/>
                <w:sz w:val="24"/>
                <w:lang w:val="en-US" w:eastAsia="zh-CN"/>
              </w:rPr>
              <w:t>购买会议记录所需设备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lang w:val="en-US" w:eastAsia="zh-CN"/>
              </w:rPr>
            </w:pPr>
            <w:r>
              <w:rPr>
                <w:rFonts w:cs="宋体" w:hint="eastAsia"/>
                <w:sz w:val="24"/>
                <w:lang w:val="en-US" w:eastAsia="zh-CN"/>
              </w:rPr>
              <w:t>1支</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rPr>
            </w:pPr>
            <w:r>
              <w:rPr>
                <w:rFonts w:cs="宋体" w:hint="eastAsia"/>
                <w:sz w:val="24"/>
              </w:rPr>
              <w:t>完成时效</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rPr>
            </w:pPr>
            <w:r>
              <w:rPr>
                <w:rFonts w:cs="宋体" w:hint="eastAsia"/>
                <w:sz w:val="24"/>
              </w:rPr>
              <w:t>202</w:t>
            </w:r>
            <w:r>
              <w:rPr>
                <w:rFonts w:cs="宋体" w:hint="eastAsia"/>
                <w:sz w:val="24"/>
                <w:lang w:val="en-US" w:eastAsia="zh-CN"/>
              </w:rPr>
              <w:t>1</w:t>
            </w:r>
            <w:r>
              <w:rPr>
                <w:rFonts w:cs="宋体" w:hint="eastAsia"/>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lang w:val="en-US" w:eastAsia="zh-CN"/>
              </w:rPr>
            </w:pPr>
            <w:r>
              <w:rPr>
                <w:rFonts w:cs="宋体" w:hint="eastAsia"/>
                <w:sz w:val="24"/>
                <w:lang w:val="en-US" w:eastAsia="zh-CN"/>
              </w:rPr>
              <w:t>2021年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rPr>
            </w:pPr>
            <w:r>
              <w:rPr>
                <w:rFonts w:cs="宋体" w:hint="eastAsia"/>
                <w:sz w:val="24"/>
              </w:rPr>
              <w:t>工作经费</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lang w:val="en-US" w:eastAsia="zh-CN" w:bidi="ar-SA"/>
              </w:rPr>
            </w:pPr>
            <w:r>
              <w:rPr>
                <w:rFonts w:cs="宋体" w:hint="eastAsia"/>
                <w:sz w:val="24"/>
                <w:lang w:val="en-US" w:eastAsia="zh-CN"/>
              </w:rPr>
              <w:t>差旅费等5.03万元</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成本指标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rPr>
            </w:pPr>
            <w:r>
              <w:rPr>
                <w:rFonts w:cs="宋体" w:hint="eastAsia"/>
                <w:sz w:val="24"/>
              </w:rPr>
              <w:t>会议室租赁和资料印制</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会议费、印刷费等7.89万元。</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成本指标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lang w:val="en-US" w:eastAsia="zh-CN" w:bidi="ar-SA"/>
              </w:rPr>
            </w:pPr>
            <w:r>
              <w:rPr>
                <w:rFonts w:cs="宋体" w:hint="eastAsia"/>
                <w:sz w:val="24"/>
                <w:lang w:val="en-US" w:eastAsia="zh-CN"/>
              </w:rPr>
              <w:t>委托业务费</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委托业务费6.27万元。</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成本指标</w:t>
            </w:r>
          </w:p>
        </w:tc>
        <w:tc>
          <w:tcPr>
            <w:tcW w:w="23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cs="宋体" w:hint="eastAsia"/>
                <w:sz w:val="24"/>
              </w:rPr>
            </w:pPr>
            <w:r>
              <w:rPr>
                <w:rFonts w:cs="宋体" w:hint="eastAsia"/>
                <w:sz w:val="24"/>
              </w:rPr>
              <w:t>设备购置费</w:t>
            </w:r>
          </w:p>
        </w:tc>
        <w:tc>
          <w:tcPr>
            <w:tcW w:w="24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cs="宋体" w:hint="eastAsia"/>
                <w:sz w:val="24"/>
              </w:rPr>
            </w:pPr>
            <w:r>
              <w:rPr>
                <w:rFonts w:cs="宋体" w:hint="eastAsia"/>
                <w:sz w:val="24"/>
              </w:rPr>
              <w:t>设备购置费0.5万元</w:t>
            </w:r>
          </w:p>
        </w:tc>
      </w:tr>
    </w:tbl>
    <w:p>
      <w:pPr>
        <w:adjustRightInd w:val="0"/>
        <w:snapToGrid w:val="0"/>
        <w:spacing w:line="353" w:lineRule="auto"/>
        <w:ind w:firstLine="645"/>
        <w:rPr>
          <w:rFonts w:ascii="仿宋_GB2312" w:eastAsia="仿宋_GB2312" w:cs="仿宋_GB2312"/>
          <w:color w:val="auto"/>
          <w:sz w:val="32"/>
          <w:szCs w:val="32"/>
        </w:rPr>
      </w:pPr>
    </w:p>
    <w:p>
      <w:pPr>
        <w:adjustRightInd w:val="0"/>
        <w:snapToGrid w:val="0"/>
        <w:spacing w:line="353" w:lineRule="auto"/>
        <w:ind w:left="0" w:firstLineChars="200" w:firstLine="640"/>
        <w:rPr>
          <w:rFonts w:eastAsia="仿宋_GB2312" w:hint="eastAsia"/>
          <w:sz w:val="32"/>
          <w:szCs w:val="32"/>
        </w:rPr>
      </w:pPr>
      <w:r>
        <w:rPr>
          <w:rFonts w:eastAsia="仿宋_GB2312" w:cs="仿宋_GB2312" w:hint="eastAsia"/>
          <w:sz w:val="32"/>
          <w:szCs w:val="32"/>
        </w:rPr>
        <w:t>（4）</w:t>
      </w:r>
      <w:r>
        <w:rPr>
          <w:rFonts w:eastAsia="仿宋_GB2312" w:cs="仿宋_GB2312" w:hint="eastAsia"/>
          <w:sz w:val="32"/>
          <w:szCs w:val="32"/>
          <w:lang w:val="en-US" w:eastAsia="zh-CN"/>
        </w:rPr>
        <w:t>金</w:t>
      </w:r>
      <w:r>
        <w:rPr>
          <w:rFonts w:eastAsia="仿宋_GB2312" w:cs="仿宋_GB2312" w:hint="eastAsia"/>
          <w:sz w:val="32"/>
          <w:szCs w:val="32"/>
        </w:rPr>
        <w:t>融部门其他行政支出项目金融风险防控专项经费绩效目标完成情况。项目全年预算数</w:t>
      </w:r>
      <w:r>
        <w:rPr>
          <w:rFonts w:eastAsia="仿宋_GB2312" w:cs="仿宋_GB2312" w:hint="eastAsia"/>
          <w:sz w:val="32"/>
          <w:szCs w:val="32"/>
          <w:lang w:val="en-US" w:eastAsia="zh-CN"/>
        </w:rPr>
        <w:t>14.99</w:t>
      </w:r>
      <w:r>
        <w:rPr>
          <w:rFonts w:eastAsia="仿宋_GB2312" w:cs="仿宋_GB2312" w:hint="eastAsia"/>
          <w:sz w:val="32"/>
          <w:szCs w:val="32"/>
        </w:rPr>
        <w:t>万元，执行</w:t>
      </w:r>
      <w:r>
        <w:rPr>
          <w:rFonts w:eastAsia="仿宋_GB2312" w:cs="仿宋_GB2312" w:hint="eastAsia"/>
          <w:sz w:val="32"/>
          <w:szCs w:val="32"/>
          <w:lang w:val="en-US" w:eastAsia="zh-CN"/>
        </w:rPr>
        <w:t>14.99</w:t>
      </w:r>
      <w:r>
        <w:rPr>
          <w:rFonts w:eastAsia="仿宋_GB2312" w:cs="仿宋_GB2312" w:hint="eastAsia"/>
          <w:sz w:val="32"/>
          <w:szCs w:val="32"/>
        </w:rPr>
        <w:t>万元，完成预算100</w:t>
      </w:r>
      <w:r>
        <w:rPr>
          <w:rFonts w:eastAsia="仿宋_GB2312" w:cs="仿宋_GB2312"/>
          <w:sz w:val="32"/>
          <w:szCs w:val="32"/>
        </w:rPr>
        <w:t>%</w:t>
      </w:r>
      <w:r>
        <w:rPr>
          <w:rFonts w:eastAsia="仿宋_GB2312" w:cs="仿宋_GB2312" w:hint="eastAsia"/>
          <w:sz w:val="32"/>
          <w:szCs w:val="32"/>
        </w:rPr>
        <w:t>。绩效目标：</w:t>
      </w:r>
      <w:r>
        <w:rPr>
          <w:rFonts w:eastAsia="仿宋_GB2312"/>
          <w:sz w:val="32"/>
          <w:szCs w:val="32"/>
        </w:rPr>
        <w:t>赴省地方金融监管局汇报金融风险防控工作开展情况；参加全省防范和化解金融风险相关会议、培训；积极配合省专项调查组莅攀调研工作；组织召开全市防范和化解金融风险相关工作协调会，协调处理原攀商行及市农商行风险。</w:t>
      </w:r>
    </w:p>
    <w:tbl>
      <w:tblPr>
        <w:tblpPr w:leftFromText="180" w:rightFromText="180" w:vertAnchor="text" w:horzAnchor="page" w:tblpX="1092" w:tblpY="301"/>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center"/>
              <w:textAlignment w:val="center"/>
              <w:rPr>
                <w:rFonts w:ascii="宋体" w:cs="宋体"/>
                <w:color w:val="auto"/>
                <w:sz w:val="36"/>
                <w:szCs w:val="36"/>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hint="eastAsia"/>
                <w:color w:val="auto"/>
                <w:kern w:val="0"/>
                <w:sz w:val="36"/>
                <w:szCs w:val="36"/>
              </w:rPr>
              <w:t>年度</w:t>
            </w:r>
            <w:r>
              <w:rPr>
                <w:rFonts w:ascii="宋体" w:cs="宋体"/>
                <w:color w:val="auto"/>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防范和化解金融风险专项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30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14.99万元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14.99万元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14.99万元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14.99万元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一一是防范和处置非法集资方面。在持续化解存量风险的同时，强化源头防控和综合施策，有效的遏制增量风险，着力共建线上线下联动和群防群治协同的金融风险防控工作格局。二是防范化解银行机构风险方面。引导地方法人银行、国有银行及其他股份制银行加大不良贷款处置力度，努力促进形成金融和实体经济、金融和房地产、金融体系内部三个方面的良性循环。</w:t>
            </w:r>
          </w:p>
          <w:p>
            <w:pPr>
              <w:widowControl/>
              <w:adjustRightInd w:val="0"/>
              <w:snapToGrid w:val="0"/>
              <w:spacing w:line="353" w:lineRule="auto"/>
              <w:jc w:val="center"/>
              <w:textAlignment w:val="center"/>
              <w:rPr>
                <w:rFonts w:ascii="宋体" w:cs="宋体"/>
                <w:color w:val="auto"/>
                <w:sz w:val="24"/>
              </w:rPr>
            </w:pP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一是防范化解银行机构风险。全年累计处置不良贷款18.76亿元，银行机构不良贷款率降至2.46%，为历年最低，牢牢守住不发生系统性金融风险底线。二是加强地方金融组织监管。督促金丰小贷问题整改，指导5家担保公司合规经营，推动3家“僵尸典当”退出行业。三是防范和处置非法集资。加快处置16件非法集资存量案件，完善常态化防范宣传工作机制，全年新增1例非法集资案件，案件发生率同比下降91%。四是有序防范重大风险。配合做好四川信托、恒大城等涉稳事件风险处置；加强市县（区）国企定向融资风险监测预警。</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相关会议、培训</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hint="eastAsia"/>
                <w:color w:val="auto"/>
              </w:rPr>
              <w:t>赴省地方金融监管局汇报金融风险防控工作开展情况；参加全省防范和化解金融风险相关会议、培训</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6次</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会议室租赁</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积极配合省专项调查组莅攀调研工作；组织召开全市防范和化解金融风险相关工作协调会，协调处理原攀商行及市农商行风险。</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3次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两家地方法人银行机构风险得到有效防控</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牵头开展不良资产处置工作；做好相关事项的请示、汇报及协调工作。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按实际情况推进工作。</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全年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年全年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工作经费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差旅费、办公费等6.92万元。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会议室租赁和资料印制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会议费、印刷费等8.07万元。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项目效益</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项目效益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社会效益指标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完成年度金融风险防控工作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银行机构不良贷款率降至2.46%，为历年最低。非法集资风险得到有效防控。地方金融环境得到进一步优化。</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完成年度金融风险防控工作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建立健全重大金融风险防范化解机制</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重点领域金融风险处置取得积极成效，牢牢守住了不发生区域性、系统性金融风险的底线。</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社会效益</w:t>
            </w:r>
          </w:p>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完成年度金融风险防控工作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精准化解银行机构重大风险</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sz w:val="24"/>
              </w:rPr>
              <w:t>全年累计处置不良贷款18.76亿元，银行机构不良贷款率降至2.46%，低于5%的风险警戒线。</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 xml:space="preserve">服务对象满意度指标 </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群众满意度≥90%</w:t>
            </w:r>
          </w:p>
        </w:tc>
      </w:tr>
    </w:tbl>
    <w:p>
      <w:pPr>
        <w:adjustRightInd w:val="0"/>
        <w:snapToGrid w:val="0"/>
        <w:spacing w:line="353" w:lineRule="auto"/>
        <w:ind w:firstLineChars="200" w:firstLine="640"/>
        <w:jc w:val="left"/>
        <w:rPr>
          <w:rFonts w:ascii="仿宋_GB2312" w:eastAsia="仿宋_GB2312" w:cs="仿宋_GB2312"/>
          <w:color w:val="auto"/>
          <w:sz w:val="32"/>
          <w:szCs w:val="32"/>
        </w:rPr>
      </w:pPr>
    </w:p>
    <w:p>
      <w:pPr>
        <w:adjustRightInd w:val="0"/>
        <w:snapToGrid w:val="0"/>
        <w:spacing w:line="353" w:lineRule="auto"/>
        <w:ind w:firstLineChars="200" w:firstLine="640"/>
        <w:rPr>
          <w:rFonts w:eastAsia="仿宋_GB2312" w:cs="仿宋_GB2312"/>
          <w:sz w:val="32"/>
          <w:szCs w:val="32"/>
        </w:rPr>
      </w:pPr>
      <w:r>
        <w:rPr>
          <w:rFonts w:eastAsia="仿宋_GB2312" w:cs="仿宋_GB2312" w:hint="eastAsia"/>
          <w:sz w:val="32"/>
          <w:szCs w:val="32"/>
        </w:rPr>
        <w:t>（5）部门其他行政支出物业管理费项目专项经费绩效目标完成情况。项目全年预算数</w:t>
      </w:r>
      <w:r>
        <w:rPr>
          <w:rFonts w:eastAsia="仿宋_GB2312" w:cs="仿宋_GB2312" w:hint="eastAsia"/>
          <w:sz w:val="32"/>
          <w:szCs w:val="32"/>
          <w:lang w:val="en-US" w:eastAsia="zh-CN"/>
        </w:rPr>
        <w:t>4.73</w:t>
      </w:r>
      <w:r>
        <w:rPr>
          <w:rFonts w:eastAsia="仿宋_GB2312" w:cs="仿宋_GB2312" w:hint="eastAsia"/>
          <w:sz w:val="32"/>
          <w:szCs w:val="32"/>
        </w:rPr>
        <w:t>万元，执行4.</w:t>
      </w:r>
      <w:r>
        <w:rPr>
          <w:rFonts w:eastAsia="仿宋_GB2312" w:cs="仿宋_GB2312" w:hint="eastAsia"/>
          <w:sz w:val="32"/>
          <w:szCs w:val="32"/>
          <w:lang w:val="en-US" w:eastAsia="zh-CN"/>
        </w:rPr>
        <w:t>73</w:t>
      </w:r>
      <w:r>
        <w:rPr>
          <w:rFonts w:eastAsia="仿宋_GB2312" w:cs="仿宋_GB2312" w:hint="eastAsia"/>
          <w:sz w:val="32"/>
          <w:szCs w:val="32"/>
        </w:rPr>
        <w:t>万元，完成预算100%。绩效目标：保障办公大楼公共设施安全运转。</w:t>
      </w:r>
      <w:r>
        <w:rPr>
          <w:rFonts w:eastAsia="仿宋_GB2312" w:cs="仿宋_GB2312" w:hint="eastAsia"/>
          <w:sz w:val="32"/>
          <w:szCs w:val="32"/>
          <w:lang w:val="en-US" w:eastAsia="zh-CN"/>
        </w:rPr>
        <w:t>承包卫生保洁</w:t>
      </w:r>
      <w:r>
        <w:rPr>
          <w:rFonts w:eastAsia="仿宋_GB2312" w:cs="仿宋_GB2312" w:hint="eastAsia"/>
          <w:sz w:val="32"/>
          <w:szCs w:val="32"/>
        </w:rPr>
        <w:t>。</w:t>
      </w:r>
    </w:p>
    <w:tbl>
      <w:tblPr>
        <w:tblpPr w:leftFromText="180" w:rightFromText="180" w:vertAnchor="text" w:horzAnchor="page" w:tblpX="1122" w:tblpY="277"/>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center"/>
              <w:textAlignment w:val="center"/>
              <w:rPr>
                <w:rFonts w:ascii="宋体" w:cs="宋体"/>
                <w:color w:val="auto"/>
                <w:sz w:val="36"/>
                <w:szCs w:val="36"/>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hint="eastAsia"/>
                <w:color w:val="auto"/>
                <w:kern w:val="0"/>
                <w:sz w:val="36"/>
                <w:szCs w:val="36"/>
              </w:rPr>
              <w:t>年度</w:t>
            </w:r>
            <w:r>
              <w:rPr>
                <w:rFonts w:ascii="宋体" w:cs="宋体"/>
                <w:color w:val="auto"/>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物业管理费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val="en-US" w:eastAsia="zh-CN"/>
              </w:rPr>
            </w:pPr>
            <w:r>
              <w:rPr>
                <w:rFonts w:ascii="宋体" w:cs="宋体" w:hint="eastAsia"/>
                <w:color w:val="auto"/>
                <w:sz w:val="24"/>
              </w:rPr>
              <w:t>4.</w:t>
            </w:r>
            <w:r>
              <w:rPr>
                <w:rFonts w:ascii="宋体" w:cs="宋体" w:hint="eastAsia"/>
                <w:color w:val="auto"/>
                <w:sz w:val="24"/>
                <w:lang w:val="en-US" w:eastAsia="zh-CN"/>
              </w:rPr>
              <w:t>73万元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val="en-US" w:eastAsia="zh-CN"/>
              </w:rPr>
            </w:pPr>
            <w:r>
              <w:rPr>
                <w:rFonts w:ascii="宋体" w:cs="宋体" w:hint="eastAsia"/>
                <w:color w:val="auto"/>
                <w:sz w:val="24"/>
                <w:lang w:val="en-US" w:eastAsia="zh-CN"/>
              </w:rPr>
              <w:t>4.73万元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val="en-US" w:eastAsia="zh-CN"/>
              </w:rPr>
            </w:pPr>
            <w:r>
              <w:rPr>
                <w:rFonts w:ascii="宋体" w:cs="宋体" w:hint="eastAsia"/>
                <w:color w:val="auto"/>
                <w:sz w:val="24"/>
              </w:rPr>
              <w:t>4.</w:t>
            </w:r>
            <w:r>
              <w:rPr>
                <w:rFonts w:ascii="宋体" w:cs="宋体" w:hint="eastAsia"/>
                <w:color w:val="auto"/>
                <w:sz w:val="24"/>
                <w:lang w:val="en-US" w:eastAsia="zh-CN"/>
              </w:rPr>
              <w:t>73万元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val="en-US" w:eastAsia="zh-CN"/>
              </w:rPr>
            </w:pPr>
            <w:r>
              <w:rPr>
                <w:rFonts w:ascii="宋体" w:cs="宋体" w:hint="eastAsia"/>
                <w:color w:val="auto"/>
                <w:sz w:val="24"/>
              </w:rPr>
              <w:t>4.</w:t>
            </w:r>
            <w:r>
              <w:rPr>
                <w:rFonts w:ascii="宋体" w:cs="宋体" w:hint="eastAsia"/>
                <w:color w:val="auto"/>
                <w:sz w:val="24"/>
                <w:lang w:val="en-US" w:eastAsia="zh-CN"/>
              </w:rPr>
              <w:t>73万元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保障办公区域干净整洁。</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1.整个综合大楼公共区域（含停车场）卫生、安保、绿化、设备设施日常维护。2.清扫保洁局办公区域。</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hint="eastAsia"/>
                <w:color w:val="auto"/>
              </w:rPr>
              <w:t xml:space="preserve"> 指标1：物业管理费面积</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hint="eastAsia"/>
                <w:color w:val="auto"/>
              </w:rPr>
              <w:t>791.14平方米</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完成物业管理</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 xml:space="preserve"> 指标2：保洁办公室间数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办公室、会议室等</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完成保洁</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物业管理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卫生、安保、绿化设备设施日常维护</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卫生、安保、绿化设备设施日常维护</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清扫保洁</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保障办公区域干净整洁</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办公区域干净整洁</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ind w:firstLineChars="400" w:firstLine="960"/>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物业管理费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实际发生</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物业管理费4.</w:t>
            </w:r>
            <w:r>
              <w:rPr>
                <w:rFonts w:ascii="宋体" w:cs="宋体" w:hint="eastAsia"/>
                <w:color w:val="auto"/>
                <w:sz w:val="24"/>
                <w:lang w:val="en-US" w:eastAsia="zh-CN"/>
              </w:rPr>
              <w:t>73</w:t>
            </w:r>
            <w:r>
              <w:rPr>
                <w:rFonts w:ascii="宋体" w:cs="宋体" w:hint="eastAsia"/>
                <w:color w:val="auto"/>
                <w:sz w:val="24"/>
              </w:rPr>
              <w:t>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保障办公区域</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保障单位办公区域干净整洁</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保障单位办公区域干净整洁</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可持续时间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持续一年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持续一年</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 xml:space="preserve">服务对象满意度指标 </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单位人员满意度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单位人员满意度≥95%</w:t>
            </w:r>
          </w:p>
        </w:tc>
      </w:tr>
    </w:tbl>
    <w:p>
      <w:pPr>
        <w:adjustRightInd w:val="0"/>
        <w:snapToGrid w:val="0"/>
        <w:spacing w:line="353" w:lineRule="auto"/>
        <w:ind w:firstLineChars="200" w:firstLine="640"/>
        <w:rPr>
          <w:rFonts w:eastAsia="仿宋_GB2312"/>
          <w:color w:val="auto"/>
          <w:sz w:val="32"/>
          <w:szCs w:val="32"/>
        </w:rPr>
      </w:pPr>
      <w:r>
        <w:rPr>
          <w:rFonts w:ascii="仿宋_GB2312" w:eastAsia="仿宋_GB2312" w:cs="仿宋_GB2312" w:hint="eastAsia"/>
          <w:color w:val="auto"/>
          <w:sz w:val="32"/>
          <w:szCs w:val="32"/>
          <w:lang w:eastAsia="zh-CN"/>
        </w:rPr>
        <w:t>（</w:t>
      </w:r>
      <w:r>
        <w:rPr>
          <w:rFonts w:ascii="仿宋_GB2312" w:eastAsia="仿宋_GB2312" w:cs="仿宋_GB2312" w:hint="eastAsia"/>
          <w:color w:val="auto"/>
          <w:sz w:val="32"/>
          <w:szCs w:val="32"/>
          <w:lang w:val="en-US" w:eastAsia="zh-CN"/>
        </w:rPr>
        <w:t>6</w:t>
      </w:r>
      <w:r>
        <w:rPr>
          <w:rFonts w:ascii="仿宋_GB2312" w:eastAsia="仿宋_GB2312" w:cs="仿宋_GB2312" w:hint="eastAsia"/>
          <w:color w:val="auto"/>
          <w:sz w:val="32"/>
          <w:szCs w:val="32"/>
          <w:lang w:eastAsia="zh-CN"/>
        </w:rPr>
        <w:t>）</w:t>
      </w:r>
      <w:r>
        <w:rPr>
          <w:rFonts w:eastAsia="仿宋_GB2312" w:hint="eastAsia"/>
          <w:color w:val="auto"/>
          <w:sz w:val="32"/>
          <w:szCs w:val="32"/>
          <w:lang w:val="en-US" w:eastAsia="zh-CN"/>
        </w:rPr>
        <w:t>公务接待费</w:t>
      </w:r>
      <w:r>
        <w:rPr>
          <w:rFonts w:eastAsia="仿宋_GB2312"/>
          <w:color w:val="auto"/>
          <w:sz w:val="32"/>
          <w:szCs w:val="32"/>
        </w:rPr>
        <w:t>绩效目标完成情况。项目全年预算数</w:t>
      </w:r>
      <w:r>
        <w:rPr>
          <w:rFonts w:eastAsia="仿宋_GB2312" w:hint="eastAsia"/>
          <w:color w:val="auto"/>
          <w:sz w:val="32"/>
          <w:szCs w:val="32"/>
          <w:lang w:val="en-US" w:eastAsia="zh-CN"/>
        </w:rPr>
        <w:t>0.43</w:t>
      </w:r>
      <w:r>
        <w:rPr>
          <w:rFonts w:eastAsia="仿宋_GB2312"/>
          <w:color w:val="auto"/>
          <w:sz w:val="32"/>
          <w:szCs w:val="32"/>
        </w:rPr>
        <w:t>万元，执行</w:t>
      </w:r>
      <w:r>
        <w:rPr>
          <w:rFonts w:eastAsia="仿宋_GB2312" w:hint="eastAsia"/>
          <w:color w:val="auto"/>
          <w:sz w:val="32"/>
          <w:szCs w:val="32"/>
          <w:lang w:val="en-US" w:eastAsia="zh-CN"/>
        </w:rPr>
        <w:t>0.43</w:t>
      </w:r>
      <w:r>
        <w:rPr>
          <w:rFonts w:eastAsia="仿宋_GB2312"/>
          <w:color w:val="auto"/>
          <w:sz w:val="32"/>
          <w:szCs w:val="32"/>
        </w:rPr>
        <w:t>万元，完成预算100%。</w:t>
      </w:r>
    </w:p>
    <w:tbl>
      <w:tblPr>
        <w:tblpPr w:leftFromText="180" w:rightFromText="180" w:vertAnchor="text" w:horzAnchor="page" w:tblpX="1117" w:tblpY="42"/>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338"/>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right"/>
              <w:rPr>
                <w:rFonts w:eastAsia="宋体"/>
                <w:color w:val="auto"/>
                <w:sz w:val="32"/>
                <w:szCs w:val="32"/>
                <w:lang w:val="en-US" w:eastAsia="zh-CN"/>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color w:val="auto"/>
                <w:kern w:val="0"/>
                <w:sz w:val="36"/>
                <w:szCs w:val="36"/>
              </w:rPr>
              <w:t>年度)</w:t>
            </w:r>
            <w:r>
              <w:rPr>
                <w:rFonts w:ascii="宋体" w:cs="宋体" w:hint="eastAsia"/>
                <w:color w:val="auto"/>
                <w:kern w:val="0"/>
                <w:sz w:val="36"/>
                <w:szCs w:val="36"/>
                <w:lang w:val="en-US" w:eastAsia="zh-CN"/>
              </w:rPr>
              <w:t xml:space="preserve">               </w:t>
            </w:r>
            <w:r>
              <w:rPr>
                <w:rFonts w:ascii="宋体" w:cs="宋体" w:hint="eastAsia"/>
                <w:color w:val="auto"/>
                <w:sz w:val="24"/>
                <w:lang w:val="en-US" w:eastAsia="zh-CN"/>
              </w:rPr>
              <w:t>单位：万元</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公务接待费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0.43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0.43</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0.43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0.43</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90"/>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按规定开展公务接待</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开展公务接待2次</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center"/>
              <w:textAlignment w:val="center"/>
              <w:rPr>
                <w:rFonts w:ascii="仿宋" w:eastAsia="仿宋" w:cs="仿宋" w:hAnsi="仿宋"/>
                <w:i w:val="0"/>
                <w:iCs w:val="0"/>
                <w:color w:val="000000"/>
                <w:kern w:val="2"/>
                <w:sz w:val="24"/>
                <w:szCs w:val="24"/>
                <w:u w:val="none"/>
                <w:lang w:val="en-US" w:eastAsia="zh-CN" w:bidi="ar-SA"/>
              </w:rPr>
            </w:pPr>
            <w:r>
              <w:rPr>
                <w:rFonts w:ascii="仿宋" w:eastAsia="仿宋" w:cs="仿宋" w:hAnsi="仿宋" w:hint="eastAsia"/>
                <w:i w:val="0"/>
                <w:iCs w:val="0"/>
                <w:color w:val="000000"/>
                <w:kern w:val="0"/>
                <w:sz w:val="24"/>
                <w:szCs w:val="24"/>
                <w:u w:val="none"/>
                <w:lang w:val="en-US" w:eastAsia="zh-CN"/>
              </w:rPr>
              <w:t>按规定开展公务接待</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2次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Ansi="宋体" w:hint="eastAsia"/>
                <w:i w:val="0"/>
                <w:iCs w:val="0"/>
                <w:color w:val="000000"/>
                <w:kern w:val="2"/>
                <w:sz w:val="24"/>
                <w:szCs w:val="24"/>
                <w:u w:val="none"/>
                <w:lang w:val="en-US" w:eastAsia="zh-CN" w:bidi="ar-SA"/>
              </w:rPr>
            </w:pPr>
            <w:r>
              <w:rPr>
                <w:rFonts w:ascii="宋体" w:eastAsia="宋体" w:cs="宋体" w:hAnsi="宋体" w:hint="eastAsia"/>
                <w:i w:val="0"/>
                <w:iCs w:val="0"/>
                <w:color w:val="000000"/>
                <w:kern w:val="0"/>
                <w:sz w:val="24"/>
                <w:szCs w:val="24"/>
                <w:u w:val="none"/>
                <w:lang w:val="en-US" w:eastAsia="zh-CN"/>
              </w:rPr>
              <w:t>公务接待费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center"/>
              <w:textAlignment w:val="center"/>
              <w:rPr>
                <w:rFonts w:ascii="宋体" w:eastAsia="宋体" w:cs="宋体" w:hint="eastAsia"/>
                <w:i w:val="0"/>
                <w:iCs w:val="0"/>
                <w:color w:val="auto"/>
                <w:kern w:val="2"/>
                <w:sz w:val="24"/>
                <w:szCs w:val="24"/>
                <w:u w:val="none"/>
                <w:lang w:val="en-US" w:eastAsia="zh-CN" w:bidi="ar-SA"/>
              </w:rPr>
            </w:pPr>
            <w:r>
              <w:rPr>
                <w:rFonts w:ascii="宋体" w:eastAsia="宋体" w:cs="宋体" w:hint="eastAsia"/>
                <w:i w:val="0"/>
                <w:iCs w:val="0"/>
                <w:color w:val="auto"/>
                <w:kern w:val="0"/>
                <w:sz w:val="24"/>
                <w:szCs w:val="24"/>
                <w:u w:val="none"/>
                <w:lang w:val="en-US" w:eastAsia="zh-CN"/>
              </w:rPr>
              <w:t>按规定开展公务接待</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eastAsia="宋体" w:cs="宋体" w:hint="eastAsia"/>
                <w:i w:val="0"/>
                <w:iCs w:val="0"/>
                <w:color w:val="auto"/>
                <w:kern w:val="0"/>
                <w:sz w:val="24"/>
                <w:szCs w:val="24"/>
                <w:u w:val="none"/>
                <w:lang w:val="en-US" w:eastAsia="zh-CN"/>
              </w:rPr>
              <w:t>公务接待费0.43万元</w:t>
            </w:r>
          </w:p>
        </w:tc>
      </w:tr>
    </w:tbl>
    <w:p>
      <w:pPr>
        <w:widowControl/>
        <w:adjustRightInd w:val="0"/>
        <w:snapToGrid w:val="0"/>
        <w:spacing w:line="353" w:lineRule="auto"/>
        <w:ind w:firstLineChars="200" w:firstLine="640"/>
        <w:rPr>
          <w:rFonts w:eastAsia="仿宋_GB2312" w:cs="仿宋_GB2312" w:hint="eastAsia"/>
          <w:sz w:val="32"/>
          <w:szCs w:val="32"/>
          <w:lang w:bidi="ar-SA"/>
        </w:rPr>
      </w:pPr>
      <w:r>
        <w:rPr>
          <w:rFonts w:eastAsia="仿宋_GB2312" w:cs="仿宋_GB2312" w:hint="eastAsia"/>
          <w:sz w:val="32"/>
          <w:szCs w:val="32"/>
        </w:rPr>
        <w:t>（</w:t>
      </w:r>
      <w:r>
        <w:rPr>
          <w:rFonts w:eastAsia="仿宋_GB2312" w:cs="仿宋_GB2312" w:hint="eastAsia"/>
          <w:sz w:val="32"/>
          <w:szCs w:val="32"/>
          <w:lang w:val="en-US" w:eastAsia="zh-CN"/>
        </w:rPr>
        <w:t>7</w:t>
      </w:r>
      <w:r>
        <w:rPr>
          <w:rFonts w:eastAsia="仿宋_GB2312" w:cs="仿宋_GB2312" w:hint="eastAsia"/>
          <w:sz w:val="32"/>
          <w:szCs w:val="32"/>
        </w:rPr>
        <w:t>）地方金融组织检查及日常监督工作项目预算完成情况。项目年初预算</w:t>
      </w:r>
      <w:r>
        <w:rPr>
          <w:rFonts w:eastAsia="仿宋_GB2312" w:cs="仿宋_GB2312" w:hint="eastAsia"/>
          <w:sz w:val="32"/>
          <w:szCs w:val="32"/>
          <w:lang w:val="en-US" w:eastAsia="zh-CN"/>
        </w:rPr>
        <w:t>10</w:t>
      </w:r>
      <w:r>
        <w:rPr>
          <w:rFonts w:eastAsia="仿宋_GB2312" w:cs="仿宋_GB2312" w:hint="eastAsia"/>
          <w:sz w:val="32"/>
          <w:szCs w:val="32"/>
        </w:rPr>
        <w:t>万元，执行10万元，完成预算100%。绩效目标：</w:t>
      </w:r>
      <w:r>
        <w:rPr>
          <w:rFonts w:eastAsia="仿宋_GB2312" w:cs="仿宋_GB2312" w:hint="eastAsia"/>
          <w:sz w:val="32"/>
          <w:szCs w:val="32"/>
          <w:lang w:bidi="ar-SA"/>
        </w:rPr>
        <w:t>贯彻落实《四川省地方金融监督管理条例》，构建上下联动、部门协作的地方金融监管体系；加强地方金融监管队伍建设。通过培训、座谈交流、合规经营检查等方式，规范地方金融组织经营行为，着力提升地方金融组织服务实体经济的能力。</w:t>
      </w:r>
    </w:p>
    <w:p>
      <w:pPr>
        <w:adjustRightInd w:val="0"/>
        <w:snapToGrid w:val="0"/>
        <w:spacing w:line="353" w:lineRule="auto"/>
        <w:rPr>
          <w:rFonts w:ascii="仿宋_GB2312" w:eastAsia="仿宋_GB2312" w:cs="仿宋_GB2312"/>
          <w:color w:val="auto"/>
          <w:sz w:val="32"/>
          <w:szCs w:val="32"/>
        </w:rPr>
      </w:pPr>
    </w:p>
    <w:tbl>
      <w:tblPr>
        <w:tblpPr w:leftFromText="180" w:rightFromText="180" w:vertAnchor="text" w:horzAnchor="page" w:tblpX="1002" w:tblpY="397"/>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center"/>
              <w:textAlignment w:val="center"/>
              <w:rPr>
                <w:rFonts w:ascii="宋体" w:cs="宋体"/>
                <w:color w:val="auto"/>
                <w:sz w:val="36"/>
                <w:szCs w:val="36"/>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hint="eastAsia"/>
                <w:color w:val="auto"/>
                <w:kern w:val="0"/>
                <w:sz w:val="36"/>
                <w:szCs w:val="36"/>
              </w:rPr>
              <w:t>年度</w:t>
            </w:r>
            <w:r>
              <w:rPr>
                <w:rFonts w:ascii="宋体" w:cs="宋体"/>
                <w:color w:val="auto"/>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地方金融组织检查及日常监督工作</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val="en-US" w:eastAsia="zh-CN"/>
              </w:rPr>
            </w:pPr>
            <w:r>
              <w:rPr>
                <w:rFonts w:ascii="宋体" w:cs="宋体" w:hint="eastAsia"/>
                <w:color w:val="auto"/>
                <w:sz w:val="24"/>
                <w:lang w:val="en-US" w:eastAsia="zh-CN"/>
              </w:rPr>
              <w:t>10万元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val="en-US" w:eastAsia="zh-CN"/>
              </w:rPr>
              <w:t>10万元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贯彻落实《四川省地方金融监督管理条例》，构建上下联动、部门协作的地方金融监管体系；加强地方金融监管队伍建设。通过培训、座谈交流、合规经营检查等方式，规范地方金融组织经营行为，着力提升地方金融组织服务实体经济的能力。</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lang w:eastAsia="zh-CN"/>
              </w:rPr>
              <w:t>坚持“减量、提质、增效”工作思路，强化对地方金融组织的监管和行业规范。聘请第三方机构，联合区（县）金融办开展辖内融资担保公司合规经营检查，并督促指导5家融资担保公司做好问题整改。稳妥处置金丰小贷违规经营问题，约谈控股大股东及高管，助力其加快恢复服务实体经济能力。按照省局要求做好典当行年审工作，对6家典当行进行了现场合规经营检查，并督促其做好年审检查发现问题整改；指导3家“僵尸企业”退出典当行业。</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188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hint="eastAsia"/>
                <w:color w:val="auto"/>
              </w:rPr>
              <w:t>参加会议</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eastAsia="zh-CN"/>
              </w:rPr>
            </w:pPr>
            <w:r>
              <w:rPr>
                <w:rFonts w:ascii="宋体" w:cs="宋体" w:hint="eastAsia"/>
                <w:color w:val="auto"/>
                <w:sz w:val="24"/>
              </w:rPr>
              <w:t>参加省地方金融监管局组织的担保公司、小贷公司、典当行和交易场所等地方金融组织监管培训和会议</w:t>
            </w:r>
            <w:r>
              <w:rPr>
                <w:rFonts w:ascii="宋体" w:cs="宋体" w:hint="eastAsia"/>
                <w:color w:val="auto"/>
                <w:sz w:val="24"/>
                <w:lang w:eastAsia="zh-CN"/>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2次</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组织培训和政策解读会</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组织地方金融组织监管和法律法规、政策解读培训。</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2次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聘请第三方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聘请第三方对地方金融组织进行检查、年审，并出具相关报告。。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1次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业务能力过硬</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参加省局组织的培训会议和其他市州承办的片区会议，提升地方金融监管水平。</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2次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依法合规经营</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对担保公司、小贷公司、典当行和交易场所这4类地方金融组织进行业务指导、培训、法律法规解读及政策宣传，提升从业人员素质，规范地方金融组织经营。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3次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做好年审和执法检查</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sz w:val="24"/>
                <w:lang w:eastAsia="zh-CN"/>
              </w:rPr>
            </w:pPr>
            <w:r>
              <w:rPr>
                <w:rFonts w:ascii="宋体" w:cs="宋体" w:hint="eastAsia"/>
                <w:color w:val="auto"/>
                <w:sz w:val="24"/>
              </w:rPr>
              <w:t>完成对地方金融组织进行年度合规性经营审查和执法检查。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kern w:val="2"/>
                <w:sz w:val="24"/>
                <w:szCs w:val="24"/>
                <w:lang w:val="en-US" w:eastAsia="zh-CN" w:bidi="ar-SA"/>
              </w:rPr>
            </w:pPr>
            <w:r>
              <w:rPr>
                <w:rFonts w:ascii="宋体" w:cs="宋体" w:hint="eastAsia"/>
                <w:color w:val="auto"/>
                <w:sz w:val="24"/>
                <w:lang w:val="en-US" w:eastAsia="zh-CN"/>
              </w:rPr>
              <w:t>3次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完成时效</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202</w:t>
            </w:r>
            <w:r>
              <w:rPr>
                <w:rFonts w:ascii="宋体" w:cs="宋体" w:hint="eastAsia"/>
                <w:color w:val="auto"/>
                <w:sz w:val="24"/>
                <w:lang w:val="en-US" w:eastAsia="zh-CN"/>
              </w:rPr>
              <w:t>1</w:t>
            </w:r>
            <w:r>
              <w:rPr>
                <w:rFonts w:ascii="宋体" w:cs="宋体" w:hint="eastAsia"/>
                <w:color w:val="auto"/>
                <w:sz w:val="24"/>
              </w:rPr>
              <w:t>年</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工作经费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textAlignment w:val="center"/>
              <w:rPr>
                <w:rFonts w:ascii="宋体" w:cs="宋体"/>
                <w:color w:val="auto"/>
                <w:sz w:val="24"/>
              </w:rPr>
            </w:pPr>
            <w:r>
              <w:rPr>
                <w:rFonts w:ascii="宋体" w:cs="宋体" w:hint="eastAsia"/>
                <w:color w:val="auto"/>
                <w:sz w:val="24"/>
              </w:rPr>
              <w:t>办公费按实际发生额执行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办公费、委托业务费等2.98万元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差旅</w:t>
            </w:r>
            <w:r>
              <w:rPr>
                <w:rFonts w:ascii="宋体" w:cs="宋体" w:hint="eastAsia"/>
                <w:color w:val="auto"/>
                <w:sz w:val="24"/>
                <w:lang w:val="en-US" w:eastAsia="zh-CN"/>
              </w:rPr>
              <w:t>费</w:t>
            </w:r>
            <w:r>
              <w:rPr>
                <w:rFonts w:ascii="宋体" w:cs="宋体" w:hint="eastAsia"/>
                <w:color w:val="auto"/>
                <w:sz w:val="24"/>
              </w:rPr>
              <w:t>、租赁</w:t>
            </w:r>
            <w:r>
              <w:rPr>
                <w:rFonts w:ascii="宋体" w:cs="宋体" w:hint="eastAsia"/>
                <w:color w:val="auto"/>
                <w:sz w:val="24"/>
                <w:lang w:val="en-US" w:eastAsia="zh-CN"/>
              </w:rPr>
              <w:t>费</w:t>
            </w:r>
            <w:r>
              <w:rPr>
                <w:rFonts w:ascii="宋体" w:cs="宋体" w:hint="eastAsia"/>
                <w:color w:val="auto"/>
                <w:sz w:val="24"/>
              </w:rPr>
              <w:t>等</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差旅费、咨询费等2.15万元。。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color w:val="auto"/>
                <w:kern w:val="2"/>
                <w:sz w:val="24"/>
                <w:szCs w:val="24"/>
                <w:lang w:val="en-US" w:eastAsia="zh-CN" w:bidi="ar-SA"/>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会议室租赁和资料印制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会议费、印刷费等4.87万元。。</w:t>
            </w:r>
          </w:p>
        </w:tc>
      </w:tr>
      <w:tr>
        <w:trPr>
          <w:trHeight w:val="1050"/>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 xml:space="preserve">服务对象满意度指标 </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color w:val="auto"/>
                <w:sz w:val="24"/>
              </w:rPr>
              <w:t>单位人员满意度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单位人员满意度≥95%</w:t>
            </w:r>
          </w:p>
        </w:tc>
      </w:tr>
    </w:tbl>
    <w:p>
      <w:pPr>
        <w:widowControl/>
        <w:adjustRightInd w:val="0"/>
        <w:snapToGrid w:val="0"/>
        <w:spacing w:line="353" w:lineRule="auto"/>
        <w:jc w:val="center"/>
        <w:rPr>
          <w:rStyle w:val="1Char"/>
          <w:rFonts w:eastAsia="黑体"/>
          <w:b w:val="0"/>
          <w:color w:val="auto"/>
        </w:rPr>
      </w:pPr>
      <w:r>
        <w:rPr>
          <w:rFonts w:eastAsia="仿宋_GB2312" w:hint="eastAsia"/>
          <w:color w:val="auto"/>
          <w:sz w:val="32"/>
          <w:szCs w:val="32"/>
        </w:rPr>
        <w:br w:type="page"/>
      </w:r>
      <w:r>
        <w:rPr>
          <w:rFonts w:eastAsia="黑体" w:hint="eastAsia"/>
          <w:color w:val="auto"/>
          <w:sz w:val="44"/>
          <w:szCs w:val="44"/>
        </w:rPr>
        <w:t>第三部分 名</w:t>
      </w:r>
      <w:r>
        <w:rPr>
          <w:rStyle w:val="1Char"/>
          <w:rFonts w:eastAsia="黑体" w:hint="eastAsia"/>
          <w:b w:val="0"/>
          <w:color w:val="auto"/>
        </w:rPr>
        <w:t>词解释</w:t>
      </w:r>
    </w:p>
    <w:p>
      <w:pPr>
        <w:adjustRightInd w:val="0"/>
        <w:snapToGrid w:val="0"/>
        <w:spacing w:line="353" w:lineRule="auto"/>
        <w:jc w:val="left"/>
        <w:rPr>
          <w:b/>
          <w:color w:val="auto"/>
          <w:sz w:val="44"/>
          <w:szCs w:val="44"/>
        </w:rPr>
      </w:pP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w:t>
      </w:r>
      <w:r>
        <w:rPr>
          <w:rFonts w:ascii="Times New Roman" w:eastAsia="仿宋_GB2312" w:cs="Times New Roman" w:hAnsi="Times New Roman" w:hint="eastAsia"/>
          <w:color w:val="auto"/>
          <w:sz w:val="32"/>
          <w:szCs w:val="32"/>
        </w:rPr>
        <w:t>财政拨款收入：指单位从同级财政部门取得的财政预算资金。</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w:t>
      </w:r>
      <w:r>
        <w:rPr>
          <w:rFonts w:ascii="Times New Roman" w:eastAsia="仿宋_GB2312" w:cs="Times New Roman" w:hAnsi="Times New Roman" w:hint="eastAsia"/>
          <w:color w:val="auto"/>
          <w:sz w:val="32"/>
          <w:szCs w:val="32"/>
        </w:rPr>
        <w:t>事业收入：指事业单位开展专业业务活动及辅助活动取得的收入。</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3.</w:t>
      </w:r>
      <w:r>
        <w:rPr>
          <w:rFonts w:ascii="Times New Roman" w:eastAsia="仿宋_GB2312" w:cs="Times New Roman" w:hAnsi="Times New Roman" w:hint="eastAsia"/>
          <w:color w:val="auto"/>
          <w:sz w:val="32"/>
          <w:szCs w:val="32"/>
        </w:rPr>
        <w:t>经营收入：指事业单位在专业业务活动及其辅助活动之外开展非独立核算经营活动取得的收入。</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4.</w:t>
      </w:r>
      <w:r>
        <w:rPr>
          <w:rFonts w:ascii="Times New Roman" w:eastAsia="仿宋_GB2312" w:cs="Times New Roman" w:hAnsi="Times New Roman" w:hint="eastAsia"/>
          <w:color w:val="auto"/>
          <w:sz w:val="32"/>
          <w:szCs w:val="32"/>
        </w:rPr>
        <w:t>其他收入：指单位取得的除上述收入以外的各项收入。</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5.</w:t>
      </w:r>
      <w:r>
        <w:rPr>
          <w:rFonts w:ascii="Times New Roman" w:eastAsia="仿宋_GB2312" w:cs="Times New Roman" w:hAnsi="Times New Roman" w:hint="eastAsia"/>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6.</w:t>
      </w:r>
      <w:r>
        <w:rPr>
          <w:rFonts w:ascii="Times New Roman" w:eastAsia="仿宋_GB2312" w:cs="Times New Roman" w:hAnsi="Times New Roman" w:hint="eastAsia"/>
          <w:color w:val="auto"/>
          <w:sz w:val="32"/>
          <w:szCs w:val="32"/>
        </w:rPr>
        <w:t>年初结转和结余：指以前年度尚未完成、结转到本年按有关规定继续使用的资金。</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7.</w:t>
      </w:r>
      <w:r>
        <w:rPr>
          <w:rFonts w:ascii="Times New Roman" w:eastAsia="仿宋_GB2312" w:cs="Times New Roman" w:hAnsi="Times New Roman" w:hint="eastAsia"/>
          <w:color w:val="auto"/>
          <w:sz w:val="32"/>
          <w:szCs w:val="32"/>
        </w:rPr>
        <w:t>结余分配：指事业单位按照事业单位会计制度的规定从非财政补助结余中分配的事业基金和职工福利基金等。</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8</w:t>
      </w:r>
      <w:r>
        <w:rPr>
          <w:rFonts w:ascii="Times New Roman" w:eastAsia="仿宋_GB2312" w:cs="Times New Roman" w:hAnsi="Times New Roman" w:hint="eastAsia"/>
          <w:color w:val="auto"/>
          <w:sz w:val="32"/>
          <w:szCs w:val="32"/>
        </w:rPr>
        <w:t>.年末结转和结余：指单位按有关规定结转到下年或以后年度继续使用的资金。</w:t>
      </w:r>
    </w:p>
    <w:p>
      <w:pPr>
        <w:adjustRightInd w:val="0"/>
        <w:snapToGrid w:val="0"/>
        <w:spacing w:line="353" w:lineRule="auto"/>
        <w:ind w:firstLineChars="200" w:firstLine="640"/>
        <w:rPr>
          <w:rFonts w:eastAsia="仿宋_GB2312" w:hint="eastAsia"/>
          <w:color w:val="auto"/>
          <w:sz w:val="32"/>
          <w:szCs w:val="32"/>
          <w:lang w:eastAsia="zh-CN"/>
        </w:rPr>
      </w:pPr>
      <w:r>
        <w:rPr>
          <w:rFonts w:eastAsia="仿宋_GB2312"/>
          <w:color w:val="auto"/>
          <w:sz w:val="32"/>
          <w:szCs w:val="32"/>
        </w:rPr>
        <w:t>9.</w:t>
      </w:r>
      <w:r>
        <w:rPr>
          <w:rFonts w:eastAsia="仿宋_GB2312" w:hint="eastAsia"/>
          <w:color w:val="auto"/>
          <w:sz w:val="32"/>
          <w:szCs w:val="32"/>
        </w:rPr>
        <w:t>一般公共服务</w:t>
      </w:r>
      <w:r>
        <w:rPr>
          <w:rFonts w:eastAsia="仿宋_GB2312" w:hint="eastAsia"/>
          <w:color w:val="auto"/>
          <w:sz w:val="32"/>
          <w:szCs w:val="32"/>
          <w:lang w:val="en-US" w:eastAsia="zh-CN"/>
        </w:rPr>
        <w:t>支出</w:t>
      </w:r>
      <w:r>
        <w:rPr>
          <w:rFonts w:eastAsia="仿宋_GB2312" w:hint="eastAsia"/>
          <w:color w:val="auto"/>
          <w:sz w:val="32"/>
          <w:szCs w:val="32"/>
        </w:rPr>
        <w:t>201（类）</w:t>
      </w:r>
      <w:r>
        <w:rPr>
          <w:rFonts w:eastAsia="仿宋_GB2312" w:hint="eastAsia"/>
          <w:color w:val="auto"/>
          <w:sz w:val="32"/>
          <w:szCs w:val="32"/>
          <w:lang w:val="en-US" w:eastAsia="zh-CN"/>
        </w:rPr>
        <w:t>13</w:t>
      </w:r>
      <w:r>
        <w:rPr>
          <w:rFonts w:eastAsia="仿宋_GB2312" w:hint="eastAsia"/>
          <w:color w:val="auto"/>
          <w:sz w:val="32"/>
          <w:szCs w:val="32"/>
        </w:rPr>
        <w:t>（款）</w:t>
      </w:r>
      <w:r>
        <w:rPr>
          <w:rFonts w:eastAsia="仿宋_GB2312" w:hint="eastAsia"/>
          <w:color w:val="auto"/>
          <w:sz w:val="32"/>
          <w:szCs w:val="32"/>
          <w:lang w:val="en-US" w:eastAsia="zh-CN"/>
        </w:rPr>
        <w:t>08</w:t>
      </w:r>
      <w:r>
        <w:rPr>
          <w:rFonts w:eastAsia="仿宋_GB2312" w:hint="eastAsia"/>
          <w:color w:val="auto"/>
          <w:sz w:val="32"/>
          <w:szCs w:val="32"/>
        </w:rPr>
        <w:t>（项）</w:t>
      </w:r>
      <w:r>
        <w:rPr>
          <w:rFonts w:eastAsia="仿宋_GB2312" w:hint="eastAsia"/>
          <w:color w:val="auto"/>
          <w:sz w:val="32"/>
          <w:szCs w:val="32"/>
          <w:lang w:val="en-US" w:eastAsia="zh-CN"/>
        </w:rPr>
        <w:t>招商引资</w:t>
      </w:r>
      <w:r>
        <w:rPr>
          <w:rFonts w:eastAsia="仿宋_GB2312" w:hint="eastAsia"/>
          <w:color w:val="auto"/>
          <w:sz w:val="32"/>
          <w:szCs w:val="32"/>
        </w:rPr>
        <w:t>：反映</w:t>
      </w:r>
      <w:r>
        <w:rPr>
          <w:rFonts w:eastAsia="仿宋_GB2312" w:hint="eastAsia"/>
          <w:color w:val="auto"/>
          <w:sz w:val="32"/>
          <w:szCs w:val="32"/>
          <w:lang w:val="en-US" w:eastAsia="zh-CN"/>
        </w:rPr>
        <w:t>用于招商引资、优化经济环境等方面支出</w:t>
      </w:r>
      <w:r>
        <w:rPr>
          <w:rFonts w:eastAsia="仿宋_GB2312" w:hint="eastAsia"/>
          <w:color w:val="auto"/>
          <w:sz w:val="32"/>
          <w:szCs w:val="32"/>
        </w:rPr>
        <w:t>（</w:t>
      </w:r>
      <w:r>
        <w:rPr>
          <w:rFonts w:eastAsia="仿宋_GB2312" w:hint="eastAsia"/>
          <w:color w:val="auto"/>
          <w:sz w:val="32"/>
          <w:szCs w:val="32"/>
          <w:lang w:val="en-US" w:eastAsia="zh-CN"/>
        </w:rPr>
        <w:t>招商引资经</w:t>
      </w:r>
      <w:r>
        <w:rPr>
          <w:rFonts w:eastAsia="仿宋_GB2312" w:hint="eastAsia"/>
          <w:color w:val="auto"/>
          <w:sz w:val="32"/>
          <w:szCs w:val="32"/>
        </w:rPr>
        <w:t>费）</w:t>
      </w:r>
      <w:r>
        <w:rPr>
          <w:rFonts w:eastAsia="仿宋_GB2312" w:hint="eastAsia"/>
          <w:color w:val="auto"/>
          <w:sz w:val="32"/>
          <w:szCs w:val="32"/>
          <w:lang w:eastAsia="zh-CN"/>
        </w:rPr>
        <w:t>。</w:t>
      </w:r>
    </w:p>
    <w:p>
      <w:pPr>
        <w:numPr>
          <w:ilvl w:val="0"/>
          <w:numId w:val="3"/>
        </w:numPr>
        <w:adjustRightInd w:val="0"/>
        <w:snapToGrid w:val="0"/>
        <w:spacing w:line="353" w:lineRule="auto"/>
        <w:ind w:left="0" w:firstLineChars="200" w:firstLine="640"/>
        <w:rPr>
          <w:rFonts w:eastAsia="仿宋_GB2312"/>
          <w:color w:val="auto"/>
          <w:sz w:val="32"/>
          <w:szCs w:val="32"/>
        </w:rPr>
      </w:pPr>
      <w:r>
        <w:rPr>
          <w:rFonts w:eastAsia="仿宋_GB2312" w:hint="eastAsia"/>
          <w:color w:val="auto"/>
          <w:sz w:val="32"/>
          <w:szCs w:val="32"/>
        </w:rPr>
        <w:t>一般公共服务201（类）32（款）99（项）其他组织事务支出：反映其他用于</w:t>
      </w:r>
      <w:r>
        <w:rPr>
          <w:rFonts w:eastAsia="仿宋_GB2312" w:hint="eastAsia"/>
          <w:color w:val="auto"/>
          <w:sz w:val="32"/>
          <w:szCs w:val="32"/>
          <w:lang w:val="en-US" w:eastAsia="zh-CN"/>
        </w:rPr>
        <w:t>中国</w:t>
      </w:r>
      <w:r>
        <w:rPr>
          <w:rFonts w:eastAsia="仿宋_GB2312" w:hint="eastAsia"/>
          <w:color w:val="auto"/>
          <w:sz w:val="32"/>
          <w:szCs w:val="32"/>
        </w:rPr>
        <w:t>共产党组织部门的事务支出。</w:t>
      </w:r>
      <w:r>
        <w:rPr>
          <w:rFonts w:eastAsia="仿宋_GB2312" w:hint="eastAsia"/>
          <w:color w:val="auto"/>
          <w:sz w:val="32"/>
          <w:szCs w:val="32"/>
          <w:lang w:eastAsia="zh-CN"/>
        </w:rPr>
        <w:t>（</w:t>
      </w:r>
      <w:r>
        <w:rPr>
          <w:rFonts w:eastAsia="仿宋_GB2312" w:hint="eastAsia"/>
          <w:color w:val="auto"/>
          <w:sz w:val="32"/>
          <w:szCs w:val="32"/>
          <w:lang w:val="en-US" w:eastAsia="zh-CN"/>
        </w:rPr>
        <w:t>其他组织事务</w:t>
      </w:r>
      <w:r>
        <w:rPr>
          <w:rFonts w:eastAsia="仿宋_GB2312" w:hint="eastAsia"/>
          <w:color w:val="auto"/>
          <w:sz w:val="32"/>
          <w:szCs w:val="32"/>
          <w:lang w:eastAsia="zh-CN"/>
        </w:rPr>
        <w:t>）</w:t>
      </w:r>
    </w:p>
    <w:p>
      <w:pPr>
        <w:numPr>
          <w:ilvl w:val="0"/>
          <w:numId w:val="3"/>
        </w:numPr>
        <w:adjustRightInd w:val="0"/>
        <w:snapToGrid w:val="0"/>
        <w:spacing w:line="353" w:lineRule="auto"/>
        <w:ind w:left="0" w:firstLineChars="200" w:firstLine="640"/>
        <w:rPr>
          <w:rFonts w:eastAsia="仿宋_GB2312" w:hint="eastAsia"/>
          <w:color w:val="auto"/>
          <w:sz w:val="32"/>
          <w:szCs w:val="32"/>
          <w:lang w:val="en-US" w:eastAsia="zh-CN"/>
        </w:rPr>
      </w:pPr>
      <w:r>
        <w:rPr>
          <w:rFonts w:eastAsia="仿宋_GB2312" w:hint="eastAsia"/>
          <w:color w:val="auto"/>
          <w:sz w:val="32"/>
          <w:szCs w:val="32"/>
          <w:lang w:val="en-US" w:eastAsia="zh-CN"/>
        </w:rPr>
        <w:t>社会保障和就业支出208（类）01（款）99项其他人力资源和社会保障管理支出：反映其他用于人力资源和社会保障管理事务方面支出（选调生安家费）</w:t>
      </w:r>
    </w:p>
    <w:p>
      <w:pPr>
        <w:numPr>
          <w:ilvl w:val="0"/>
          <w:numId w:val="3"/>
        </w:numPr>
        <w:adjustRightInd w:val="0"/>
        <w:snapToGrid w:val="0"/>
        <w:spacing w:line="353" w:lineRule="auto"/>
        <w:ind w:left="0" w:firstLineChars="200" w:firstLine="640"/>
        <w:rPr>
          <w:rFonts w:eastAsia="仿宋_GB2312"/>
          <w:color w:val="auto"/>
          <w:sz w:val="32"/>
          <w:szCs w:val="32"/>
        </w:rPr>
      </w:pPr>
      <w:r>
        <w:rPr>
          <w:rFonts w:eastAsia="仿宋_GB2312" w:hint="eastAsia"/>
          <w:color w:val="auto"/>
          <w:sz w:val="32"/>
          <w:szCs w:val="32"/>
          <w:lang w:val="en-US" w:eastAsia="zh-CN"/>
        </w:rPr>
        <w:t>社会保障和就业支出208（类）05（款）05</w:t>
      </w:r>
      <w:r>
        <w:rPr>
          <w:rFonts w:eastAsia="仿宋_GB2312" w:hint="eastAsia"/>
          <w:color w:val="auto"/>
          <w:sz w:val="32"/>
          <w:szCs w:val="32"/>
        </w:rPr>
        <w:t>机关事业单位基本养老保险费支出：反映机关事业单位实施养老保险制度</w:t>
      </w:r>
      <w:r>
        <w:rPr>
          <w:rFonts w:eastAsia="仿宋_GB2312" w:hint="eastAsia"/>
          <w:color w:val="auto"/>
          <w:sz w:val="32"/>
          <w:szCs w:val="32"/>
          <w:lang w:val="en-US" w:eastAsia="zh-CN"/>
        </w:rPr>
        <w:t>由</w:t>
      </w:r>
      <w:r>
        <w:rPr>
          <w:rFonts w:eastAsia="仿宋_GB2312" w:hint="eastAsia"/>
          <w:color w:val="auto"/>
          <w:sz w:val="32"/>
          <w:szCs w:val="32"/>
        </w:rPr>
        <w:t>单位缴纳的基本养老保险</w:t>
      </w:r>
      <w:r>
        <w:rPr>
          <w:rFonts w:eastAsia="仿宋_GB2312" w:hint="eastAsia"/>
          <w:color w:val="auto"/>
          <w:sz w:val="32"/>
          <w:szCs w:val="32"/>
          <w:lang w:val="en-US" w:eastAsia="zh-CN"/>
        </w:rPr>
        <w:t>费</w:t>
      </w:r>
      <w:r>
        <w:rPr>
          <w:rFonts w:eastAsia="仿宋_GB2312" w:hint="eastAsia"/>
          <w:color w:val="auto"/>
          <w:sz w:val="32"/>
          <w:szCs w:val="32"/>
        </w:rPr>
        <w:t>支出。</w:t>
      </w:r>
    </w:p>
    <w:p>
      <w:pPr>
        <w:pStyle w:val="15"/>
        <w:adjustRightInd w:val="0"/>
        <w:snapToGrid w:val="0"/>
        <w:spacing w:beforeLines="0" w:before="0" w:line="353" w:lineRule="auto"/>
        <w:ind w:firstLineChars="200" w:firstLine="640"/>
        <w:rPr>
          <w:color w:val="auto"/>
        </w:rPr>
      </w:pPr>
      <w:r>
        <w:rPr>
          <w:rFonts w:ascii="Times New Roman" w:hAnsi="Times New Roman"/>
          <w:color w:val="auto"/>
          <w:sz w:val="32"/>
          <w:szCs w:val="32"/>
        </w:rPr>
        <w:t>1</w:t>
      </w:r>
      <w:r>
        <w:rPr>
          <w:rFonts w:ascii="Times New Roman" w:hAnsi="Times New Roman" w:hint="eastAsia"/>
          <w:color w:val="auto"/>
          <w:sz w:val="32"/>
          <w:szCs w:val="32"/>
          <w:lang w:val="en-US" w:eastAsia="zh-CN"/>
        </w:rPr>
        <w:t>3</w:t>
      </w:r>
      <w:r>
        <w:rPr>
          <w:rFonts w:ascii="Times New Roman" w:hAnsi="Times New Roman"/>
          <w:color w:val="auto"/>
          <w:sz w:val="32"/>
          <w:szCs w:val="32"/>
        </w:rPr>
        <w:t>.</w:t>
      </w:r>
      <w:r>
        <w:rPr>
          <w:rFonts w:hint="eastAsia"/>
          <w:color w:val="auto"/>
          <w:sz w:val="32"/>
          <w:szCs w:val="32"/>
        </w:rPr>
        <w:t>社会保障和就业支出208（类）10（款）01（项）儿童福利支出：反映</w:t>
      </w:r>
      <w:r>
        <w:rPr>
          <w:rFonts w:hint="eastAsia"/>
          <w:color w:val="auto"/>
          <w:sz w:val="32"/>
          <w:szCs w:val="32"/>
          <w:lang w:val="en-US" w:eastAsia="zh-CN"/>
        </w:rPr>
        <w:t>对</w:t>
      </w:r>
      <w:r>
        <w:rPr>
          <w:rFonts w:hint="eastAsia"/>
          <w:color w:val="auto"/>
          <w:sz w:val="32"/>
          <w:szCs w:val="32"/>
        </w:rPr>
        <w:t>儿童提供福利服务方面的支出。</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rPr>
        <w:t>1</w:t>
      </w:r>
      <w:r>
        <w:rPr>
          <w:rFonts w:eastAsia="仿宋_GB2312" w:hint="eastAsia"/>
          <w:color w:val="auto"/>
          <w:sz w:val="32"/>
          <w:szCs w:val="32"/>
          <w:lang w:val="en-US" w:eastAsia="zh-CN"/>
        </w:rPr>
        <w:t>4</w:t>
      </w:r>
      <w:r>
        <w:rPr>
          <w:rFonts w:eastAsia="仿宋_GB2312"/>
          <w:color w:val="auto"/>
          <w:sz w:val="32"/>
          <w:szCs w:val="32"/>
        </w:rPr>
        <w:t>.</w:t>
      </w:r>
      <w:r>
        <w:rPr>
          <w:rFonts w:eastAsia="仿宋_GB2312" w:hint="eastAsia"/>
          <w:color w:val="auto"/>
          <w:sz w:val="32"/>
          <w:szCs w:val="32"/>
        </w:rPr>
        <w:t>金融</w:t>
      </w:r>
      <w:r>
        <w:rPr>
          <w:rFonts w:eastAsia="仿宋_GB2312" w:hint="eastAsia"/>
          <w:color w:val="auto"/>
          <w:sz w:val="32"/>
          <w:szCs w:val="32"/>
          <w:lang w:val="en-US" w:eastAsia="zh-CN"/>
        </w:rPr>
        <w:t>支出217</w:t>
      </w:r>
      <w:r>
        <w:rPr>
          <w:rFonts w:eastAsia="仿宋_GB2312" w:hint="eastAsia"/>
          <w:color w:val="auto"/>
          <w:sz w:val="32"/>
          <w:szCs w:val="32"/>
        </w:rPr>
        <w:t>（类）</w:t>
      </w:r>
      <w:r>
        <w:rPr>
          <w:rFonts w:eastAsia="仿宋_GB2312" w:hint="eastAsia"/>
          <w:color w:val="auto"/>
          <w:sz w:val="32"/>
          <w:szCs w:val="32"/>
          <w:lang w:val="en-US" w:eastAsia="zh-CN"/>
        </w:rPr>
        <w:t>01</w:t>
      </w:r>
      <w:r>
        <w:rPr>
          <w:rFonts w:eastAsia="仿宋_GB2312" w:hint="eastAsia"/>
          <w:color w:val="auto"/>
          <w:sz w:val="32"/>
          <w:szCs w:val="32"/>
        </w:rPr>
        <w:t>（款）</w:t>
      </w:r>
      <w:r>
        <w:rPr>
          <w:rFonts w:eastAsia="仿宋_GB2312" w:hint="eastAsia"/>
          <w:color w:val="auto"/>
          <w:sz w:val="32"/>
          <w:szCs w:val="32"/>
          <w:lang w:val="en-US" w:eastAsia="zh-CN"/>
        </w:rPr>
        <w:t>01</w:t>
      </w:r>
      <w:r>
        <w:rPr>
          <w:rFonts w:eastAsia="仿宋_GB2312" w:hint="eastAsia"/>
          <w:color w:val="auto"/>
          <w:sz w:val="32"/>
          <w:szCs w:val="32"/>
        </w:rPr>
        <w:t>（项）</w:t>
      </w:r>
      <w:r>
        <w:rPr>
          <w:rFonts w:eastAsia="仿宋_GB2312" w:hint="eastAsia"/>
          <w:color w:val="auto"/>
          <w:sz w:val="32"/>
          <w:szCs w:val="32"/>
          <w:lang w:val="en-US" w:eastAsia="zh-CN"/>
        </w:rPr>
        <w:t>行政运行</w:t>
      </w:r>
      <w:r>
        <w:rPr>
          <w:rFonts w:eastAsia="仿宋_GB2312" w:hint="eastAsia"/>
          <w:color w:val="auto"/>
          <w:sz w:val="32"/>
          <w:szCs w:val="32"/>
        </w:rPr>
        <w:t>：反映行政单位的基本支出。</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rPr>
        <w:t>1</w:t>
      </w:r>
      <w:r>
        <w:rPr>
          <w:rFonts w:eastAsia="仿宋_GB2312" w:hint="eastAsia"/>
          <w:color w:val="auto"/>
          <w:sz w:val="32"/>
          <w:szCs w:val="32"/>
          <w:lang w:val="en-US" w:eastAsia="zh-CN"/>
        </w:rPr>
        <w:t>5</w:t>
      </w:r>
      <w:r>
        <w:rPr>
          <w:rFonts w:eastAsia="仿宋_GB2312"/>
          <w:color w:val="auto"/>
          <w:sz w:val="32"/>
          <w:szCs w:val="32"/>
        </w:rPr>
        <w:t>.</w:t>
      </w:r>
      <w:r>
        <w:rPr>
          <w:rFonts w:eastAsia="仿宋_GB2312" w:hint="eastAsia"/>
          <w:color w:val="auto"/>
          <w:sz w:val="32"/>
          <w:szCs w:val="32"/>
        </w:rPr>
        <w:t>金融</w:t>
      </w:r>
      <w:r>
        <w:rPr>
          <w:rFonts w:eastAsia="仿宋_GB2312" w:hint="eastAsia"/>
          <w:color w:val="auto"/>
          <w:sz w:val="32"/>
          <w:szCs w:val="32"/>
          <w:lang w:val="en-US" w:eastAsia="zh-CN"/>
        </w:rPr>
        <w:t>支出</w:t>
      </w:r>
      <w:r>
        <w:rPr>
          <w:rFonts w:eastAsia="仿宋_GB2312" w:hint="eastAsia"/>
          <w:color w:val="auto"/>
          <w:sz w:val="32"/>
          <w:szCs w:val="32"/>
        </w:rPr>
        <w:t>217（类）</w:t>
      </w:r>
      <w:r>
        <w:rPr>
          <w:rFonts w:eastAsia="仿宋_GB2312" w:hint="eastAsia"/>
          <w:color w:val="auto"/>
          <w:sz w:val="32"/>
          <w:szCs w:val="32"/>
          <w:lang w:val="en-US" w:eastAsia="zh-CN"/>
        </w:rPr>
        <w:t>01</w:t>
      </w:r>
      <w:r>
        <w:rPr>
          <w:rFonts w:eastAsia="仿宋_GB2312" w:hint="eastAsia"/>
          <w:color w:val="auto"/>
          <w:sz w:val="32"/>
          <w:szCs w:val="32"/>
        </w:rPr>
        <w:t>（款）0</w:t>
      </w:r>
      <w:r>
        <w:rPr>
          <w:rFonts w:eastAsia="仿宋_GB2312" w:hint="eastAsia"/>
          <w:color w:val="auto"/>
          <w:sz w:val="32"/>
          <w:szCs w:val="32"/>
          <w:lang w:val="en-US" w:eastAsia="zh-CN"/>
        </w:rPr>
        <w:t>2</w:t>
      </w:r>
      <w:r>
        <w:rPr>
          <w:rFonts w:eastAsia="仿宋_GB2312" w:hint="eastAsia"/>
          <w:color w:val="auto"/>
          <w:sz w:val="32"/>
          <w:szCs w:val="32"/>
        </w:rPr>
        <w:t>（项）</w:t>
      </w:r>
      <w:r>
        <w:rPr>
          <w:rFonts w:eastAsia="仿宋_GB2312" w:hint="eastAsia"/>
          <w:color w:val="auto"/>
          <w:sz w:val="32"/>
          <w:szCs w:val="32"/>
          <w:lang w:val="en-US" w:eastAsia="zh-CN"/>
        </w:rPr>
        <w:t>一般行政管理事务</w:t>
      </w:r>
      <w:r>
        <w:rPr>
          <w:rFonts w:eastAsia="仿宋_GB2312" w:hint="eastAsia"/>
          <w:color w:val="auto"/>
          <w:sz w:val="32"/>
          <w:szCs w:val="32"/>
        </w:rPr>
        <w:t>：指反映行政单位未单独设置项级科目的其他项目支出（</w:t>
      </w:r>
      <w:r>
        <w:rPr>
          <w:rFonts w:eastAsia="仿宋_GB2312" w:hint="eastAsia"/>
          <w:color w:val="auto"/>
          <w:sz w:val="32"/>
          <w:szCs w:val="32"/>
          <w:lang w:val="en-US" w:eastAsia="zh-CN"/>
        </w:rPr>
        <w:t>物业管理费和公务接待费</w:t>
      </w:r>
      <w:r>
        <w:rPr>
          <w:rFonts w:eastAsia="仿宋_GB2312" w:hint="eastAsia"/>
          <w:color w:val="auto"/>
          <w:sz w:val="32"/>
          <w:szCs w:val="32"/>
        </w:rPr>
        <w:t>）。</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rPr>
        <w:t>1</w:t>
      </w:r>
      <w:r>
        <w:rPr>
          <w:rFonts w:eastAsia="仿宋_GB2312" w:hint="eastAsia"/>
          <w:color w:val="auto"/>
          <w:sz w:val="32"/>
          <w:szCs w:val="32"/>
          <w:lang w:val="en-US" w:eastAsia="zh-CN"/>
        </w:rPr>
        <w:t>6</w:t>
      </w:r>
      <w:r>
        <w:rPr>
          <w:rFonts w:eastAsia="仿宋_GB2312"/>
          <w:color w:val="auto"/>
          <w:sz w:val="32"/>
          <w:szCs w:val="32"/>
        </w:rPr>
        <w:t>.</w:t>
      </w:r>
      <w:r>
        <w:rPr>
          <w:rFonts w:eastAsia="仿宋_GB2312" w:hint="eastAsia"/>
          <w:color w:val="auto"/>
          <w:sz w:val="32"/>
          <w:szCs w:val="32"/>
          <w:lang w:val="en-US" w:eastAsia="zh-CN"/>
        </w:rPr>
        <w:t>金融支出217</w:t>
      </w:r>
      <w:r>
        <w:rPr>
          <w:rFonts w:eastAsia="仿宋_GB2312" w:hint="eastAsia"/>
          <w:color w:val="auto"/>
          <w:sz w:val="32"/>
          <w:szCs w:val="32"/>
        </w:rPr>
        <w:t>（类）</w:t>
      </w:r>
      <w:r>
        <w:rPr>
          <w:rFonts w:eastAsia="仿宋_GB2312" w:hint="eastAsia"/>
          <w:color w:val="auto"/>
          <w:sz w:val="32"/>
          <w:szCs w:val="32"/>
          <w:lang w:val="en-US" w:eastAsia="zh-CN"/>
        </w:rPr>
        <w:t>01</w:t>
      </w:r>
      <w:r>
        <w:rPr>
          <w:rFonts w:eastAsia="仿宋_GB2312" w:hint="eastAsia"/>
          <w:color w:val="auto"/>
          <w:sz w:val="32"/>
          <w:szCs w:val="32"/>
        </w:rPr>
        <w:t>（款）</w:t>
      </w:r>
      <w:r>
        <w:rPr>
          <w:rFonts w:eastAsia="仿宋_GB2312" w:hint="eastAsia"/>
          <w:color w:val="auto"/>
          <w:sz w:val="32"/>
          <w:szCs w:val="32"/>
          <w:lang w:val="en-US" w:eastAsia="zh-CN"/>
        </w:rPr>
        <w:t>50</w:t>
      </w:r>
      <w:r>
        <w:rPr>
          <w:rFonts w:eastAsia="仿宋_GB2312" w:hint="eastAsia"/>
          <w:color w:val="auto"/>
          <w:sz w:val="32"/>
          <w:szCs w:val="32"/>
        </w:rPr>
        <w:t>（项）</w:t>
      </w:r>
      <w:r>
        <w:rPr>
          <w:rFonts w:eastAsia="仿宋_GB2312" w:hint="eastAsia"/>
          <w:color w:val="auto"/>
          <w:sz w:val="32"/>
          <w:szCs w:val="32"/>
          <w:lang w:val="en-US" w:eastAsia="zh-CN"/>
        </w:rPr>
        <w:t>事业运行</w:t>
      </w:r>
      <w:r>
        <w:rPr>
          <w:rFonts w:eastAsia="仿宋_GB2312" w:hint="eastAsia"/>
          <w:color w:val="auto"/>
          <w:sz w:val="32"/>
          <w:szCs w:val="32"/>
        </w:rPr>
        <w:t>：指反映事业单位的基本支出，不包括行政单位（包括实行公务员管理的事业单位）后勤服务中心、医务室等附属事业单位（金融发展促进中心支出）。</w:t>
      </w:r>
    </w:p>
    <w:p>
      <w:pPr>
        <w:adjustRightInd w:val="0"/>
        <w:snapToGrid w:val="0"/>
        <w:spacing w:line="353" w:lineRule="auto"/>
        <w:ind w:firstLineChars="200" w:firstLine="640"/>
        <w:rPr>
          <w:rFonts w:eastAsia="仿宋_GB2312" w:hint="eastAsia"/>
          <w:color w:val="auto"/>
          <w:sz w:val="32"/>
          <w:szCs w:val="32"/>
        </w:rPr>
      </w:pPr>
      <w:r>
        <w:rPr>
          <w:rFonts w:eastAsia="仿宋_GB2312" w:hint="eastAsia"/>
          <w:color w:val="auto"/>
          <w:sz w:val="32"/>
          <w:szCs w:val="32"/>
        </w:rPr>
        <w:t>1</w:t>
      </w:r>
      <w:r>
        <w:rPr>
          <w:rFonts w:eastAsia="仿宋_GB2312" w:hint="eastAsia"/>
          <w:color w:val="auto"/>
          <w:sz w:val="32"/>
          <w:szCs w:val="32"/>
          <w:lang w:val="en-US" w:eastAsia="zh-CN"/>
        </w:rPr>
        <w:t>7</w:t>
      </w:r>
      <w:r>
        <w:rPr>
          <w:rFonts w:eastAsia="仿宋_GB2312"/>
          <w:color w:val="auto"/>
          <w:sz w:val="32"/>
          <w:szCs w:val="32"/>
        </w:rPr>
        <w:t>.</w:t>
      </w:r>
      <w:r>
        <w:rPr>
          <w:rFonts w:eastAsia="仿宋_GB2312" w:hint="eastAsia"/>
          <w:color w:val="auto"/>
          <w:sz w:val="32"/>
          <w:szCs w:val="32"/>
        </w:rPr>
        <w:t>金融</w:t>
      </w:r>
      <w:r>
        <w:rPr>
          <w:rFonts w:eastAsia="仿宋_GB2312" w:hint="eastAsia"/>
          <w:color w:val="auto"/>
          <w:sz w:val="32"/>
          <w:szCs w:val="32"/>
          <w:lang w:val="en-US" w:eastAsia="zh-CN"/>
        </w:rPr>
        <w:t>支出</w:t>
      </w:r>
      <w:r>
        <w:rPr>
          <w:rFonts w:eastAsia="仿宋_GB2312" w:hint="eastAsia"/>
          <w:color w:val="auto"/>
          <w:sz w:val="32"/>
          <w:szCs w:val="32"/>
        </w:rPr>
        <w:t>217（类）</w:t>
      </w:r>
      <w:r>
        <w:rPr>
          <w:rFonts w:eastAsia="仿宋_GB2312" w:hint="eastAsia"/>
          <w:color w:val="auto"/>
          <w:sz w:val="32"/>
          <w:szCs w:val="32"/>
          <w:lang w:val="en-US" w:eastAsia="zh-CN"/>
        </w:rPr>
        <w:t>02</w:t>
      </w:r>
      <w:r>
        <w:rPr>
          <w:rFonts w:eastAsia="仿宋_GB2312" w:hint="eastAsia"/>
          <w:color w:val="auto"/>
          <w:sz w:val="32"/>
          <w:szCs w:val="32"/>
        </w:rPr>
        <w:t>（款）0</w:t>
      </w:r>
      <w:r>
        <w:rPr>
          <w:rFonts w:eastAsia="仿宋_GB2312" w:hint="eastAsia"/>
          <w:color w:val="auto"/>
          <w:sz w:val="32"/>
          <w:szCs w:val="32"/>
          <w:lang w:val="en-US" w:eastAsia="zh-CN"/>
        </w:rPr>
        <w:t>4</w:t>
      </w:r>
      <w:r>
        <w:rPr>
          <w:rFonts w:eastAsia="仿宋_GB2312" w:hint="eastAsia"/>
          <w:color w:val="auto"/>
          <w:sz w:val="32"/>
          <w:szCs w:val="32"/>
        </w:rPr>
        <w:t>（项）</w:t>
      </w:r>
      <w:r>
        <w:rPr>
          <w:rFonts w:eastAsia="仿宋_GB2312" w:hint="eastAsia"/>
          <w:color w:val="auto"/>
          <w:sz w:val="32"/>
          <w:szCs w:val="32"/>
          <w:lang w:val="en-US" w:eastAsia="zh-CN"/>
        </w:rPr>
        <w:t>重点金融机构监管</w:t>
      </w:r>
      <w:r>
        <w:rPr>
          <w:rFonts w:eastAsia="仿宋_GB2312" w:hint="eastAsia"/>
          <w:color w:val="auto"/>
          <w:sz w:val="32"/>
          <w:szCs w:val="32"/>
        </w:rPr>
        <w:t>：</w:t>
      </w:r>
      <w:r>
        <w:rPr>
          <w:rFonts w:eastAsia="仿宋_GB2312" w:hint="eastAsia"/>
          <w:color w:val="auto"/>
          <w:sz w:val="32"/>
          <w:szCs w:val="32"/>
          <w:lang w:val="en-US" w:eastAsia="zh-CN"/>
        </w:rPr>
        <w:t>反映对重点金融机构监管方面的支出（重点金融机构监管经费）</w:t>
      </w:r>
      <w:r>
        <w:rPr>
          <w:rFonts w:eastAsia="仿宋_GB2312" w:hint="eastAsia"/>
          <w:color w:val="auto"/>
          <w:sz w:val="32"/>
          <w:szCs w:val="32"/>
        </w:rPr>
        <w:t>。</w:t>
      </w:r>
    </w:p>
    <w:p>
      <w:pPr>
        <w:adjustRightInd w:val="0"/>
        <w:snapToGrid w:val="0"/>
        <w:spacing w:line="353" w:lineRule="auto"/>
        <w:ind w:firstLineChars="200" w:firstLine="420"/>
        <w:rPr>
          <w:rFonts w:eastAsia="仿宋_GB2312"/>
          <w:color w:val="auto"/>
          <w:sz w:val="32"/>
          <w:szCs w:val="32"/>
          <w:lang w:val="en-US"/>
        </w:rPr>
      </w:pPr>
      <w:r>
        <w:rPr>
          <w:rFonts w:hint="eastAsia"/>
          <w:lang w:val="en-US" w:eastAsia="zh-CN"/>
        </w:rPr>
        <w:t xml:space="preserve">   </w:t>
      </w:r>
      <w:r>
        <w:rPr>
          <w:rFonts w:eastAsia="仿宋_GB2312" w:hint="eastAsia"/>
          <w:color w:val="auto"/>
          <w:sz w:val="32"/>
          <w:szCs w:val="32"/>
        </w:rPr>
        <w:t>1</w:t>
      </w:r>
      <w:r>
        <w:rPr>
          <w:rFonts w:eastAsia="仿宋_GB2312" w:hint="eastAsia"/>
          <w:color w:val="auto"/>
          <w:sz w:val="32"/>
          <w:szCs w:val="32"/>
          <w:lang w:val="en-US" w:eastAsia="zh-CN"/>
        </w:rPr>
        <w:t>8</w:t>
      </w:r>
      <w:r>
        <w:rPr>
          <w:rFonts w:eastAsia="仿宋_GB2312"/>
          <w:color w:val="auto"/>
          <w:sz w:val="32"/>
          <w:szCs w:val="32"/>
        </w:rPr>
        <w:t>.</w:t>
      </w:r>
      <w:r>
        <w:rPr>
          <w:rFonts w:eastAsia="仿宋_GB2312" w:hint="eastAsia"/>
          <w:color w:val="auto"/>
          <w:sz w:val="32"/>
          <w:szCs w:val="32"/>
        </w:rPr>
        <w:t>金融</w:t>
      </w:r>
      <w:r>
        <w:rPr>
          <w:rFonts w:eastAsia="仿宋_GB2312" w:hint="eastAsia"/>
          <w:color w:val="auto"/>
          <w:sz w:val="32"/>
          <w:szCs w:val="32"/>
          <w:lang w:val="en-US" w:eastAsia="zh-CN"/>
        </w:rPr>
        <w:t>支出</w:t>
      </w:r>
      <w:r>
        <w:rPr>
          <w:rFonts w:eastAsia="仿宋_GB2312" w:hint="eastAsia"/>
          <w:color w:val="auto"/>
          <w:sz w:val="32"/>
          <w:szCs w:val="32"/>
        </w:rPr>
        <w:t>217（类）</w:t>
      </w:r>
      <w:r>
        <w:rPr>
          <w:rFonts w:eastAsia="仿宋_GB2312" w:hint="eastAsia"/>
          <w:color w:val="auto"/>
          <w:sz w:val="32"/>
          <w:szCs w:val="32"/>
          <w:lang w:val="en-US" w:eastAsia="zh-CN"/>
        </w:rPr>
        <w:t>02</w:t>
      </w:r>
      <w:r>
        <w:rPr>
          <w:rFonts w:eastAsia="仿宋_GB2312" w:hint="eastAsia"/>
          <w:color w:val="auto"/>
          <w:sz w:val="32"/>
          <w:szCs w:val="32"/>
        </w:rPr>
        <w:t>（款）</w:t>
      </w:r>
      <w:r>
        <w:rPr>
          <w:rFonts w:eastAsia="仿宋_GB2312" w:hint="eastAsia"/>
          <w:color w:val="auto"/>
          <w:sz w:val="32"/>
          <w:szCs w:val="32"/>
          <w:lang w:val="en-US" w:eastAsia="zh-CN"/>
        </w:rPr>
        <w:t>99</w:t>
      </w:r>
      <w:r>
        <w:rPr>
          <w:rFonts w:eastAsia="仿宋_GB2312" w:hint="eastAsia"/>
          <w:color w:val="auto"/>
          <w:sz w:val="32"/>
          <w:szCs w:val="32"/>
        </w:rPr>
        <w:t>（项）</w:t>
      </w:r>
      <w:r>
        <w:rPr>
          <w:rFonts w:eastAsia="仿宋_GB2312" w:hint="eastAsia"/>
          <w:color w:val="auto"/>
          <w:sz w:val="32"/>
          <w:szCs w:val="32"/>
          <w:lang w:val="en-US" w:eastAsia="zh-CN"/>
        </w:rPr>
        <w:t>金融部门其他监管支出：反映其他用于监管方面的支出（防范和化解金融风险经费）。</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rPr>
        <w:t>1</w:t>
      </w:r>
      <w:r>
        <w:rPr>
          <w:rFonts w:eastAsia="仿宋_GB2312" w:hint="eastAsia"/>
          <w:color w:val="auto"/>
          <w:sz w:val="32"/>
          <w:szCs w:val="32"/>
          <w:lang w:val="en-US" w:eastAsia="zh-CN"/>
        </w:rPr>
        <w:t>9</w:t>
      </w:r>
      <w:r>
        <w:rPr>
          <w:rFonts w:eastAsia="仿宋_GB2312"/>
          <w:color w:val="auto"/>
          <w:sz w:val="32"/>
          <w:szCs w:val="32"/>
        </w:rPr>
        <w:t>.</w:t>
      </w:r>
      <w:r>
        <w:rPr>
          <w:rFonts w:eastAsia="仿宋_GB2312" w:hint="eastAsia"/>
          <w:color w:val="auto"/>
          <w:sz w:val="32"/>
          <w:szCs w:val="32"/>
        </w:rPr>
        <w:t>住房保障221（类）02（款）01（项）住房公积金：指保障性住房方面的支出</w:t>
      </w:r>
      <w:r>
        <w:rPr>
          <w:rFonts w:eastAsia="仿宋_GB2312" w:hint="eastAsia"/>
          <w:color w:val="auto"/>
          <w:sz w:val="32"/>
          <w:szCs w:val="32"/>
          <w:lang w:eastAsia="zh-CN"/>
        </w:rPr>
        <w:t>（</w:t>
      </w:r>
      <w:r>
        <w:rPr>
          <w:rFonts w:eastAsia="仿宋_GB2312" w:hint="eastAsia"/>
          <w:color w:val="auto"/>
          <w:sz w:val="32"/>
          <w:szCs w:val="32"/>
          <w:lang w:val="en-US" w:eastAsia="zh-CN"/>
        </w:rPr>
        <w:t>住房公积金</w:t>
      </w:r>
      <w:r>
        <w:rPr>
          <w:rFonts w:eastAsia="仿宋_GB2312" w:hint="eastAsia"/>
          <w:color w:val="auto"/>
          <w:sz w:val="32"/>
          <w:szCs w:val="32"/>
          <w:lang w:eastAsia="zh-CN"/>
        </w:rPr>
        <w:t>）</w:t>
      </w:r>
      <w:r>
        <w:rPr>
          <w:rFonts w:eastAsia="仿宋_GB2312" w:hint="eastAsia"/>
          <w:color w:val="auto"/>
          <w:sz w:val="32"/>
          <w:szCs w:val="32"/>
        </w:rPr>
        <w:t>。</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lang w:val="en-US" w:eastAsia="zh-CN"/>
        </w:rPr>
        <w:t>20</w:t>
      </w:r>
      <w:r>
        <w:rPr>
          <w:rFonts w:eastAsia="仿宋_GB2312" w:hint="eastAsia"/>
          <w:color w:val="auto"/>
          <w:sz w:val="32"/>
          <w:szCs w:val="32"/>
        </w:rPr>
        <w:t>.基本支出：指为保障机构正常运转、完成日常工作任务而发生的人员支出和公用支出。</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lang w:val="en-US" w:eastAsia="zh-CN"/>
        </w:rPr>
        <w:t>21</w:t>
      </w:r>
      <w:r>
        <w:rPr>
          <w:rFonts w:eastAsia="仿宋_GB2312"/>
          <w:color w:val="auto"/>
          <w:sz w:val="32"/>
          <w:szCs w:val="32"/>
        </w:rPr>
        <w:t>.</w:t>
      </w:r>
      <w:r>
        <w:rPr>
          <w:rFonts w:eastAsia="仿宋_GB2312" w:hint="eastAsia"/>
          <w:color w:val="auto"/>
          <w:sz w:val="32"/>
          <w:szCs w:val="32"/>
        </w:rPr>
        <w:t>项目支出：指在基本支出之外为完成特定行政任务和事业发展目标所发生的支出。</w:t>
      </w:r>
    </w:p>
    <w:p>
      <w:pPr>
        <w:adjustRightInd w:val="0"/>
        <w:snapToGrid w:val="0"/>
        <w:spacing w:line="353" w:lineRule="auto"/>
        <w:ind w:firstLineChars="200" w:firstLine="640"/>
        <w:rPr>
          <w:rFonts w:eastAsia="仿宋_GB2312"/>
          <w:color w:val="auto"/>
          <w:sz w:val="32"/>
          <w:szCs w:val="32"/>
        </w:rPr>
      </w:pPr>
      <w:r>
        <w:rPr>
          <w:rFonts w:eastAsia="仿宋_GB2312" w:hint="eastAsia"/>
          <w:color w:val="auto"/>
          <w:sz w:val="32"/>
          <w:szCs w:val="32"/>
          <w:lang w:val="en-US" w:eastAsia="zh-CN"/>
        </w:rPr>
        <w:t>22.</w:t>
      </w:r>
      <w:r>
        <w:rPr>
          <w:rFonts w:eastAsia="仿宋_GB2312" w:hint="eastAsia"/>
          <w:color w:val="auto"/>
          <w:sz w:val="32"/>
          <w:szCs w:val="32"/>
        </w:rPr>
        <w:t>经营支出：指事业单位在专业业务活动及其辅助活动之外开展非独立核算经营活动发生的支出。</w:t>
      </w:r>
    </w:p>
    <w:p>
      <w:pPr>
        <w:pStyle w:val="36"/>
        <w:adjustRightInd w:val="0"/>
        <w:snapToGrid w:val="0"/>
        <w:spacing w:line="353" w:lineRule="auto"/>
        <w:ind w:firstLineChars="200" w:firstLine="640"/>
        <w:rPr>
          <w:rFonts w:ascii="Times New Roman" w:eastAsia="仿宋_GB2312" w:cs="Times New Roman" w:hAnsi="Times New Roman"/>
          <w:color w:val="auto"/>
          <w:sz w:val="32"/>
          <w:szCs w:val="32"/>
        </w:rPr>
      </w:pPr>
      <w:r>
        <w:rPr>
          <w:rFonts w:ascii="Times New Roman" w:eastAsia="仿宋_GB2312" w:cs="Times New Roman" w:hAnsi="Times New Roman" w:hint="eastAsia"/>
          <w:color w:val="auto"/>
          <w:sz w:val="32"/>
          <w:szCs w:val="32"/>
        </w:rPr>
        <w:t>2</w:t>
      </w:r>
      <w:r>
        <w:rPr>
          <w:rFonts w:ascii="Times New Roman" w:eastAsia="仿宋_GB2312" w:cs="Times New Roman" w:hAnsi="Times New Roman" w:hint="eastAsia"/>
          <w:color w:val="auto"/>
          <w:sz w:val="32"/>
          <w:szCs w:val="32"/>
          <w:lang w:val="en-US" w:eastAsia="zh-CN"/>
        </w:rPr>
        <w:t>3.</w:t>
      </w:r>
      <w:r>
        <w:rPr>
          <w:rFonts w:ascii="Times New Roman" w:eastAsia="仿宋_GB2312" w:cs="Times New Roman" w:hAnsi="Times New Roman"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353" w:lineRule="auto"/>
        <w:ind w:firstLine="640"/>
        <w:outlineLvl w:val="0"/>
        <w:rPr>
          <w:rFonts w:ascii="仿宋_GB2312" w:eastAsia="仿宋_GB2312" w:cs="仿宋_GB2312"/>
          <w:color w:val="auto"/>
          <w:sz w:val="32"/>
          <w:szCs w:val="32"/>
        </w:rPr>
      </w:pPr>
      <w:r>
        <w:rPr>
          <w:rFonts w:eastAsia="仿宋_GB2312" w:hint="eastAsia"/>
          <w:color w:val="auto"/>
          <w:sz w:val="32"/>
          <w:szCs w:val="32"/>
        </w:rPr>
        <w:t>2</w:t>
      </w:r>
      <w:r>
        <w:rPr>
          <w:rFonts w:eastAsia="仿宋_GB2312" w:hint="eastAsia"/>
          <w:color w:val="auto"/>
          <w:sz w:val="32"/>
          <w:szCs w:val="32"/>
          <w:lang w:val="en-US" w:eastAsia="zh-CN"/>
        </w:rPr>
        <w:t>4</w:t>
      </w:r>
      <w:r>
        <w:rPr>
          <w:rFonts w:eastAsia="仿宋_GB2312"/>
          <w:color w:val="auto"/>
          <w:sz w:val="32"/>
          <w:szCs w:val="32"/>
        </w:rPr>
        <w:t>.</w:t>
      </w:r>
      <w:r>
        <w:rPr>
          <w:rFonts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353" w:lineRule="auto"/>
        <w:ind w:leftChars="200" w:left="420"/>
        <w:rPr>
          <w:rFonts w:eastAsia="仿宋_GB2312"/>
          <w:color w:val="auto"/>
          <w:sz w:val="32"/>
          <w:szCs w:val="32"/>
        </w:rPr>
      </w:pPr>
    </w:p>
    <w:p>
      <w:pPr>
        <w:adjustRightInd w:val="0"/>
        <w:snapToGrid w:val="0"/>
        <w:spacing w:line="353" w:lineRule="auto"/>
        <w:jc w:val="center"/>
        <w:rPr>
          <w:rFonts w:ascii="黑体" w:eastAsia="黑体" w:cs="黑体"/>
          <w:color w:val="auto"/>
          <w:sz w:val="32"/>
          <w:szCs w:val="32"/>
        </w:rPr>
      </w:pPr>
      <w:r>
        <w:rPr>
          <w:rFonts w:ascii="黑体" w:eastAsia="黑体" w:cs="黑体" w:hint="eastAsia"/>
          <w:color w:val="auto"/>
          <w:sz w:val="32"/>
          <w:szCs w:val="32"/>
        </w:rPr>
        <w:br w:type="page"/>
      </w:r>
      <w:r>
        <w:rPr>
          <w:rFonts w:ascii="黑体" w:eastAsia="黑体" w:cs="黑体" w:hint="eastAsia"/>
          <w:color w:val="auto"/>
          <w:sz w:val="44"/>
          <w:szCs w:val="44"/>
        </w:rPr>
        <w:t>第四部分 附件</w:t>
      </w:r>
    </w:p>
    <w:p>
      <w:pPr>
        <w:adjustRightInd w:val="0"/>
        <w:snapToGrid w:val="0"/>
        <w:spacing w:line="353" w:lineRule="auto"/>
        <w:rPr>
          <w:rFonts w:ascii="黑体" w:eastAsia="黑体" w:cs="黑体"/>
          <w:color w:val="auto"/>
          <w:sz w:val="32"/>
          <w:szCs w:val="32"/>
        </w:rPr>
      </w:pPr>
      <w:r>
        <w:rPr>
          <w:rFonts w:ascii="黑体" w:eastAsia="黑体" w:cs="黑体" w:hint="eastAsia"/>
          <w:color w:val="auto"/>
          <w:sz w:val="32"/>
          <w:szCs w:val="32"/>
        </w:rPr>
        <w:t>附件1</w:t>
      </w:r>
    </w:p>
    <w:p>
      <w:pPr>
        <w:pStyle w:val="17"/>
        <w:adjustRightInd w:val="0"/>
        <w:snapToGrid w:val="0"/>
        <w:spacing w:line="353" w:lineRule="auto"/>
        <w:ind w:left="0"/>
        <w:jc w:val="center"/>
        <w:rPr>
          <w:rFonts w:ascii="方正小标宋简体" w:eastAsia="方正小标宋简体" w:cs="黑体" w:hint="eastAsia"/>
          <w:sz w:val="44"/>
          <w:szCs w:val="44"/>
          <w:lang w:bidi="ar-SA"/>
        </w:rPr>
      </w:pPr>
      <w:r>
        <w:rPr>
          <w:rFonts w:ascii="方正小标宋简体" w:eastAsia="方正小标宋简体" w:cs="黑体" w:hint="eastAsia"/>
          <w:sz w:val="44"/>
          <w:szCs w:val="44"/>
          <w:lang w:bidi="ar-SA"/>
        </w:rPr>
        <w:t>攀枝花市金融工作局</w:t>
      </w:r>
    </w:p>
    <w:p>
      <w:pPr>
        <w:pStyle w:val="17"/>
        <w:adjustRightInd w:val="0"/>
        <w:snapToGrid w:val="0"/>
        <w:spacing w:line="353" w:lineRule="auto"/>
        <w:ind w:left="0"/>
        <w:jc w:val="center"/>
        <w:rPr>
          <w:rFonts w:ascii="方正小标宋简体" w:eastAsia="方正小标宋简体" w:cs="黑体" w:hint="eastAsia"/>
          <w:sz w:val="44"/>
          <w:szCs w:val="44"/>
          <w:lang w:bidi="ar-SA"/>
        </w:rPr>
      </w:pPr>
      <w:r>
        <w:rPr>
          <w:rFonts w:ascii="方正小标宋简体" w:eastAsia="方正小标宋简体" w:cs="黑体" w:hint="eastAsia"/>
          <w:sz w:val="44"/>
          <w:szCs w:val="44"/>
          <w:lang w:bidi="ar-SA"/>
        </w:rPr>
        <w:t>预算整体绩效自评报告</w:t>
      </w:r>
    </w:p>
    <w:p>
      <w:pPr>
        <w:pStyle w:val="17"/>
        <w:adjustRightInd w:val="0"/>
        <w:snapToGrid w:val="0"/>
        <w:spacing w:line="353" w:lineRule="auto"/>
        <w:ind w:firstLineChars="200" w:firstLine="720"/>
        <w:jc w:val="center"/>
        <w:rPr>
          <w:rFonts w:ascii="方正小标宋_GBK" w:eastAsia="方正小标宋_GBK" w:cs="黑体" w:hint="eastAsia"/>
          <w:b/>
          <w:sz w:val="36"/>
          <w:szCs w:val="36"/>
          <w:lang w:bidi="ar-SA"/>
        </w:rPr>
      </w:pPr>
    </w:p>
    <w:p>
      <w:pPr>
        <w:pStyle w:val="17"/>
        <w:adjustRightInd w:val="0"/>
        <w:snapToGrid w:val="0"/>
        <w:spacing w:line="353" w:lineRule="auto"/>
        <w:ind w:firstLineChars="200" w:firstLine="640"/>
        <w:jc w:val="left"/>
        <w:rPr>
          <w:rFonts w:ascii="黑体" w:eastAsia="黑体" w:cs="仿宋_GB2312" w:hint="eastAsia"/>
          <w:sz w:val="32"/>
          <w:szCs w:val="32"/>
          <w:lang w:bidi="ar-SA"/>
        </w:rPr>
      </w:pPr>
      <w:r>
        <w:rPr>
          <w:rFonts w:ascii="黑体" w:eastAsia="黑体" w:cs="仿宋_GB2312" w:hint="eastAsia"/>
          <w:sz w:val="32"/>
          <w:szCs w:val="32"/>
          <w:lang w:bidi="ar-SA"/>
        </w:rPr>
        <w:t>一、部门概况</w:t>
      </w:r>
    </w:p>
    <w:p>
      <w:pPr>
        <w:adjustRightInd w:val="0"/>
        <w:snapToGrid w:val="0"/>
        <w:spacing w:line="353" w:lineRule="auto"/>
        <w:ind w:firstLineChars="200" w:firstLine="640"/>
        <w:rPr>
          <w:rFonts w:eastAsia="仿宋_GB2312"/>
          <w:sz w:val="32"/>
          <w:szCs w:val="32"/>
        </w:rPr>
      </w:pPr>
      <w:r>
        <w:rPr>
          <w:rFonts w:eastAsia="仿宋_GB2312"/>
          <w:sz w:val="32"/>
          <w:szCs w:val="32"/>
        </w:rPr>
        <w:t>1.部门主要职能：服务实体经济、防控金融风险、深化金融改革。</w:t>
      </w:r>
    </w:p>
    <w:p>
      <w:pPr>
        <w:adjustRightInd w:val="0"/>
        <w:snapToGrid w:val="0"/>
        <w:spacing w:line="353" w:lineRule="auto"/>
        <w:ind w:firstLineChars="200" w:firstLine="640"/>
        <w:rPr>
          <w:rFonts w:eastAsia="仿宋_GB2312"/>
          <w:sz w:val="32"/>
          <w:szCs w:val="32"/>
        </w:rPr>
      </w:pPr>
      <w:r>
        <w:rPr>
          <w:rFonts w:eastAsia="仿宋_GB2312"/>
          <w:sz w:val="32"/>
          <w:szCs w:val="32"/>
        </w:rPr>
        <w:t>2.机构性质：市政府组成部门。内设2个科室（综合监管科和金融发展科），下设1个事业单位（市金融发展促进中心）。</w:t>
      </w:r>
    </w:p>
    <w:p>
      <w:pPr>
        <w:adjustRightInd w:val="0"/>
        <w:snapToGrid w:val="0"/>
        <w:spacing w:line="353" w:lineRule="auto"/>
        <w:ind w:firstLineChars="200" w:firstLine="640"/>
        <w:rPr>
          <w:rFonts w:eastAsia="仿宋_GB2312"/>
          <w:sz w:val="32"/>
          <w:szCs w:val="32"/>
        </w:rPr>
      </w:pPr>
      <w:r>
        <w:rPr>
          <w:rFonts w:eastAsia="仿宋_GB2312"/>
          <w:sz w:val="32"/>
          <w:szCs w:val="32"/>
        </w:rPr>
        <w:t>3.人员情况：共有干部职工</w:t>
      </w:r>
      <w:r>
        <w:rPr>
          <w:rFonts w:ascii="Times New Roman" w:eastAsia="仿宋_GB2312" w:cs="Times New Roman" w:hAnsi="Times New Roman"/>
          <w:sz w:val="32"/>
          <w:szCs w:val="32"/>
          <w:lang w:val="en-US" w:eastAsia="zh-CN" w:bidi="ar-SA"/>
        </w:rPr>
        <w:t>12</w:t>
      </w:r>
      <w:r>
        <w:rPr>
          <w:rFonts w:eastAsia="仿宋_GB2312"/>
          <w:sz w:val="32"/>
          <w:szCs w:val="32"/>
        </w:rPr>
        <w:t>人，其中行政人员</w:t>
      </w:r>
      <w:r>
        <w:rPr>
          <w:rFonts w:ascii="Times New Roman" w:eastAsia="仿宋_GB2312" w:cs="Times New Roman" w:hAnsi="Times New Roman"/>
          <w:sz w:val="32"/>
          <w:szCs w:val="32"/>
          <w:lang w:val="en-US" w:eastAsia="zh-CN" w:bidi="ar-SA"/>
        </w:rPr>
        <w:t>8</w:t>
      </w:r>
      <w:r>
        <w:rPr>
          <w:rFonts w:eastAsia="仿宋_GB2312"/>
          <w:sz w:val="32"/>
          <w:szCs w:val="32"/>
        </w:rPr>
        <w:t>人（设局长1人、副局长2人），科长1人，副科长1人，四级主任科员2人，一级科员1人；事业人员4人。</w:t>
      </w:r>
    </w:p>
    <w:p>
      <w:pPr>
        <w:adjustRightInd w:val="0"/>
        <w:snapToGrid w:val="0"/>
        <w:spacing w:line="353" w:lineRule="auto"/>
        <w:ind w:firstLineChars="200" w:firstLine="640"/>
        <w:rPr>
          <w:rFonts w:ascii="Times New Roman" w:eastAsia="仿宋_GB2312" w:cs="Times New Roman" w:hAnsi="Times New Roman"/>
          <w:sz w:val="32"/>
          <w:szCs w:val="32"/>
          <w:lang w:bidi="ar-SA"/>
        </w:rPr>
      </w:pPr>
      <w:r>
        <w:rPr>
          <w:rFonts w:eastAsia="仿宋_GB2312"/>
          <w:sz w:val="32"/>
          <w:szCs w:val="32"/>
        </w:rPr>
        <w:t>4.其他情况：</w:t>
      </w:r>
      <w:r>
        <w:rPr>
          <w:rFonts w:ascii="Times New Roman" w:eastAsia="仿宋_GB2312" w:cs="Times New Roman" w:hAnsi="Times New Roman"/>
          <w:sz w:val="32"/>
          <w:szCs w:val="32"/>
          <w:lang w:val="en-US" w:eastAsia="zh-CN" w:bidi="ar-SA"/>
        </w:rPr>
        <w:t>2021</w:t>
      </w:r>
      <w:r>
        <w:rPr>
          <w:rFonts w:eastAsia="仿宋_GB2312"/>
          <w:sz w:val="32"/>
          <w:szCs w:val="32"/>
        </w:rPr>
        <w:t>年新调入行政人员</w:t>
      </w:r>
      <w:r>
        <w:rPr>
          <w:rFonts w:ascii="Times New Roman" w:eastAsia="仿宋_GB2312" w:cs="Times New Roman" w:hAnsi="Times New Roman"/>
          <w:sz w:val="32"/>
          <w:szCs w:val="32"/>
          <w:lang w:val="en-US" w:eastAsia="zh-CN" w:bidi="ar-SA"/>
        </w:rPr>
        <w:t>3</w:t>
      </w:r>
      <w:r>
        <w:rPr>
          <w:rFonts w:eastAsia="仿宋_GB2312"/>
          <w:sz w:val="32"/>
          <w:szCs w:val="32"/>
        </w:rPr>
        <w:t>名</w:t>
      </w:r>
      <w:r>
        <w:rPr>
          <w:rFonts w:eastAsia="仿宋_GB2312" w:hint="eastAsia"/>
          <w:sz w:val="32"/>
          <w:szCs w:val="32"/>
        </w:rPr>
        <w:t>、</w:t>
      </w:r>
      <w:r>
        <w:rPr>
          <w:rFonts w:eastAsia="仿宋_GB2312" w:cs="Times New Roman" w:hint="eastAsia"/>
          <w:sz w:val="32"/>
          <w:szCs w:val="32"/>
          <w:lang w:val="en-US" w:eastAsia="zh-CN" w:bidi="ar-SA"/>
        </w:rPr>
        <w:t>减少</w:t>
      </w:r>
      <w:r>
        <w:rPr>
          <w:rFonts w:ascii="Times New Roman" w:eastAsia="仿宋_GB2312" w:cs="Times New Roman" w:hAnsi="Times New Roman"/>
          <w:sz w:val="32"/>
          <w:szCs w:val="32"/>
          <w:lang w:val="en-US" w:eastAsia="zh-CN" w:bidi="ar-SA"/>
        </w:rPr>
        <w:t>行政人员1名，调出行政人员1名。</w:t>
      </w:r>
    </w:p>
    <w:p>
      <w:pPr>
        <w:adjustRightInd w:val="0"/>
        <w:snapToGrid w:val="0"/>
        <w:spacing w:line="353" w:lineRule="auto"/>
        <w:ind w:firstLineChars="200" w:firstLine="640"/>
        <w:rPr>
          <w:rFonts w:eastAsia="仿宋_GB2312"/>
          <w:sz w:val="32"/>
          <w:szCs w:val="32"/>
        </w:rPr>
      </w:pPr>
      <w:r>
        <w:rPr>
          <w:rFonts w:eastAsia="仿宋_GB2312"/>
          <w:sz w:val="32"/>
          <w:szCs w:val="32"/>
        </w:rPr>
        <w:t>资产合计金额17.46万元，其中：固定资产16.38万元，无形资产1.08万元。</w:t>
      </w:r>
    </w:p>
    <w:p>
      <w:pPr>
        <w:pStyle w:val="17"/>
        <w:adjustRightInd w:val="0"/>
        <w:snapToGrid w:val="0"/>
        <w:spacing w:line="353" w:lineRule="auto"/>
        <w:ind w:firstLineChars="250" w:firstLine="800"/>
        <w:jc w:val="left"/>
        <w:rPr>
          <w:rFonts w:ascii="仿宋_GB2312" w:eastAsia="仿宋_GB2312" w:cs="仿宋_GB2312" w:hint="eastAsia"/>
          <w:sz w:val="32"/>
          <w:szCs w:val="32"/>
          <w:lang w:bidi="ar-SA"/>
        </w:rPr>
      </w:pPr>
      <w:r>
        <w:rPr>
          <w:rFonts w:ascii="黑体" w:eastAsia="黑体" w:cs="仿宋_GB2312" w:hint="eastAsia"/>
          <w:sz w:val="32"/>
          <w:szCs w:val="32"/>
          <w:lang w:bidi="ar-SA"/>
        </w:rPr>
        <w:t>二、部门资金基本情况</w:t>
      </w:r>
    </w:p>
    <w:p>
      <w:pPr>
        <w:pStyle w:val="17"/>
        <w:adjustRightInd w:val="0"/>
        <w:snapToGrid w:val="0"/>
        <w:spacing w:line="353" w:lineRule="auto"/>
        <w:ind w:firstLineChars="200" w:firstLine="640"/>
        <w:jc w:val="left"/>
        <w:rPr>
          <w:rFonts w:ascii="仿宋_GB2312" w:eastAsia="仿宋_GB2312" w:hint="eastAsia"/>
          <w:b/>
          <w:bCs/>
          <w:sz w:val="32"/>
          <w:szCs w:val="32"/>
        </w:rPr>
      </w:pPr>
      <w:r>
        <w:rPr>
          <w:rFonts w:ascii="楷体" w:eastAsia="楷体" w:cs="仿宋_GB2312" w:hint="eastAsia"/>
          <w:sz w:val="32"/>
          <w:szCs w:val="32"/>
          <w:lang w:bidi="ar-SA"/>
        </w:rPr>
        <w:t>（一）年初部门预算安排及支出情况。</w:t>
      </w:r>
    </w:p>
    <w:p>
      <w:pPr>
        <w:adjustRightInd w:val="0"/>
        <w:snapToGrid w:val="0"/>
        <w:spacing w:line="353" w:lineRule="auto"/>
        <w:ind w:firstLineChars="200" w:firstLine="640"/>
        <w:rPr>
          <w:rFonts w:eastAsia="仿宋_GB2312"/>
          <w:sz w:val="32"/>
          <w:szCs w:val="32"/>
        </w:rPr>
      </w:pPr>
      <w:r>
        <w:rPr>
          <w:rFonts w:ascii="仿宋_GB2312" w:eastAsia="仿宋_GB2312" w:hint="eastAsia"/>
          <w:b/>
          <w:bCs/>
          <w:sz w:val="32"/>
          <w:szCs w:val="32"/>
        </w:rPr>
        <w:t>1.基本支出安排及使用情况。</w:t>
      </w:r>
    </w:p>
    <w:p>
      <w:pPr>
        <w:adjustRightInd w:val="0"/>
        <w:snapToGrid w:val="0"/>
        <w:spacing w:line="353" w:lineRule="auto"/>
        <w:ind w:firstLineChars="200" w:firstLine="640"/>
        <w:rPr>
          <w:rFonts w:eastAsia="仿宋_GB2312"/>
          <w:sz w:val="32"/>
          <w:szCs w:val="32"/>
        </w:rPr>
      </w:pPr>
      <w:r>
        <w:rPr>
          <w:rFonts w:eastAsia="仿宋_GB2312"/>
          <w:sz w:val="32"/>
          <w:szCs w:val="32"/>
        </w:rPr>
        <w:t>基本支出</w:t>
      </w:r>
      <w:r>
        <w:rPr>
          <w:rFonts w:eastAsia="仿宋_GB2312"/>
          <w:sz w:val="32"/>
          <w:szCs w:val="32"/>
          <w:lang w:val="en-US" w:eastAsia="zh-CN"/>
        </w:rPr>
        <w:t>202.78</w:t>
      </w:r>
      <w:r>
        <w:rPr>
          <w:rFonts w:eastAsia="仿宋_GB2312"/>
          <w:sz w:val="32"/>
          <w:szCs w:val="32"/>
        </w:rPr>
        <w:t>万元，占总体支出的</w:t>
      </w:r>
      <w:r>
        <w:rPr>
          <w:rFonts w:eastAsia="仿宋_GB2312"/>
          <w:sz w:val="32"/>
          <w:szCs w:val="32"/>
          <w:lang w:val="en-US" w:eastAsia="zh-CN"/>
        </w:rPr>
        <w:t>93.11</w:t>
      </w:r>
      <w:r>
        <w:rPr>
          <w:rFonts w:eastAsia="仿宋_GB2312"/>
          <w:sz w:val="32"/>
          <w:szCs w:val="32"/>
        </w:rPr>
        <w:t>%。其中工资福利支出</w:t>
      </w:r>
      <w:r>
        <w:rPr>
          <w:rFonts w:eastAsia="仿宋_GB2312"/>
          <w:sz w:val="32"/>
          <w:szCs w:val="32"/>
          <w:lang w:val="en-US" w:eastAsia="zh-CN"/>
        </w:rPr>
        <w:t>172.67万</w:t>
      </w:r>
      <w:r>
        <w:rPr>
          <w:rFonts w:eastAsia="仿宋_GB2312"/>
          <w:sz w:val="32"/>
          <w:szCs w:val="32"/>
        </w:rPr>
        <w:t>元，商品和服务支出</w:t>
      </w:r>
      <w:r>
        <w:rPr>
          <w:rFonts w:eastAsia="仿宋_GB2312"/>
          <w:sz w:val="32"/>
          <w:szCs w:val="32"/>
          <w:lang w:val="en-US" w:eastAsia="zh-CN"/>
        </w:rPr>
        <w:t>30.11</w:t>
      </w:r>
      <w:r>
        <w:rPr>
          <w:rFonts w:eastAsia="仿宋_GB2312"/>
          <w:sz w:val="32"/>
          <w:szCs w:val="32"/>
        </w:rPr>
        <w:t>万元。</w:t>
      </w:r>
    </w:p>
    <w:p>
      <w:pPr>
        <w:adjustRightInd w:val="0"/>
        <w:snapToGrid w:val="0"/>
        <w:spacing w:line="353" w:lineRule="auto"/>
        <w:ind w:firstLineChars="200" w:firstLine="640"/>
        <w:rPr>
          <w:rFonts w:ascii="仿宋_GB2312" w:eastAsia="仿宋_GB2312" w:hint="eastAsia"/>
          <w:b/>
          <w:bCs/>
          <w:sz w:val="32"/>
          <w:szCs w:val="32"/>
        </w:rPr>
      </w:pPr>
      <w:r>
        <w:rPr>
          <w:rFonts w:ascii="仿宋_GB2312" w:eastAsia="仿宋_GB2312" w:hint="eastAsia"/>
          <w:b/>
          <w:bCs/>
          <w:sz w:val="32"/>
          <w:szCs w:val="32"/>
        </w:rPr>
        <w:t>2.部门预算项目安排及支出情况。</w:t>
      </w:r>
    </w:p>
    <w:p>
      <w:pPr>
        <w:adjustRightInd w:val="0"/>
        <w:snapToGrid w:val="0"/>
        <w:spacing w:line="353" w:lineRule="auto"/>
        <w:ind w:firstLineChars="200" w:firstLine="640"/>
        <w:rPr>
          <w:rFonts w:eastAsia="仿宋_GB2312"/>
          <w:sz w:val="32"/>
          <w:szCs w:val="32"/>
        </w:rPr>
      </w:pPr>
      <w:r>
        <w:rPr>
          <w:rFonts w:eastAsia="仿宋_GB2312"/>
          <w:sz w:val="32"/>
          <w:szCs w:val="32"/>
        </w:rPr>
        <w:t>项目收入12万元，占总体收入的5.59%，其中：其他组织事务2万元，重点金融机构监管10万元。</w:t>
      </w:r>
    </w:p>
    <w:p>
      <w:pPr>
        <w:adjustRightInd w:val="0"/>
        <w:snapToGrid w:val="0"/>
        <w:spacing w:line="353" w:lineRule="auto"/>
        <w:ind w:firstLineChars="200" w:firstLine="640"/>
        <w:rPr>
          <w:rFonts w:ascii="仿宋_GB2312" w:eastAsia="仿宋_GB2312" w:hint="eastAsia"/>
          <w:b/>
          <w:bCs/>
          <w:sz w:val="32"/>
          <w:szCs w:val="32"/>
        </w:rPr>
      </w:pPr>
      <w:r>
        <w:rPr>
          <w:rFonts w:ascii="仿宋_GB2312" w:eastAsia="仿宋_GB2312" w:hint="eastAsia"/>
          <w:b/>
          <w:bCs/>
          <w:sz w:val="32"/>
          <w:szCs w:val="32"/>
        </w:rPr>
        <w:t>3.收入支出预算执行情况。</w:t>
      </w:r>
    </w:p>
    <w:p>
      <w:pPr>
        <w:adjustRightInd w:val="0"/>
        <w:snapToGrid w:val="0"/>
        <w:spacing w:line="353" w:lineRule="auto"/>
        <w:ind w:firstLineChars="200" w:firstLine="640"/>
        <w:rPr>
          <w:rFonts w:eastAsia="仿宋_GB2312"/>
          <w:sz w:val="32"/>
          <w:szCs w:val="32"/>
          <w:lang w:val="en-US" w:eastAsia="zh-CN"/>
        </w:rPr>
      </w:pPr>
      <w:r>
        <w:rPr>
          <w:rFonts w:eastAsia="仿宋_GB2312"/>
          <w:sz w:val="32"/>
          <w:szCs w:val="32"/>
        </w:rPr>
        <w:t>一般公共预算财政拨款收入</w:t>
      </w:r>
      <w:r>
        <w:rPr>
          <w:rFonts w:eastAsia="仿宋_GB2312"/>
          <w:sz w:val="32"/>
          <w:szCs w:val="32"/>
          <w:lang w:val="en-US" w:eastAsia="zh-CN"/>
        </w:rPr>
        <w:t>294.78</w:t>
      </w:r>
      <w:r>
        <w:rPr>
          <w:rFonts w:eastAsia="仿宋_GB2312"/>
          <w:sz w:val="32"/>
          <w:szCs w:val="32"/>
        </w:rPr>
        <w:t>万元，支出</w:t>
      </w:r>
      <w:r>
        <w:rPr>
          <w:rFonts w:eastAsia="仿宋_GB2312"/>
          <w:sz w:val="32"/>
          <w:szCs w:val="32"/>
          <w:lang w:val="en-US" w:eastAsia="zh-CN"/>
        </w:rPr>
        <w:t>294.78</w:t>
      </w:r>
      <w:r>
        <w:rPr>
          <w:rFonts w:eastAsia="仿宋_GB2312"/>
          <w:sz w:val="32"/>
          <w:szCs w:val="32"/>
        </w:rPr>
        <w:t>万</w:t>
      </w:r>
      <w:r>
        <w:rPr>
          <w:rFonts w:eastAsia="仿宋_GB2312"/>
          <w:sz w:val="32"/>
          <w:szCs w:val="32"/>
          <w:lang w:val="en-US" w:eastAsia="zh-CN"/>
        </w:rPr>
        <w:t>元</w:t>
      </w:r>
      <w:r>
        <w:rPr>
          <w:rFonts w:eastAsia="仿宋_GB2312"/>
          <w:sz w:val="32"/>
          <w:szCs w:val="32"/>
          <w:lang w:eastAsia="zh-CN"/>
        </w:rPr>
        <w:t>。</w:t>
      </w:r>
    </w:p>
    <w:p>
      <w:pPr>
        <w:adjustRightInd w:val="0"/>
        <w:snapToGrid w:val="0"/>
        <w:spacing w:line="353" w:lineRule="auto"/>
        <w:ind w:firstLineChars="200" w:firstLine="640"/>
        <w:rPr>
          <w:rFonts w:ascii="楷体" w:eastAsia="楷体" w:cs="仿宋_GB2312" w:hint="eastAsia"/>
          <w:sz w:val="32"/>
          <w:szCs w:val="32"/>
          <w:lang w:bidi="ar-SA"/>
        </w:rPr>
      </w:pPr>
      <w:r>
        <w:rPr>
          <w:rFonts w:ascii="楷体" w:eastAsia="楷体" w:cs="仿宋_GB2312" w:hint="eastAsia"/>
          <w:sz w:val="32"/>
          <w:szCs w:val="32"/>
          <w:lang w:bidi="ar-SA"/>
        </w:rPr>
        <w:t>（二）追加预算安排及支出情况。</w:t>
      </w:r>
    </w:p>
    <w:p>
      <w:pPr>
        <w:adjustRightInd w:val="0"/>
        <w:snapToGrid w:val="0"/>
        <w:spacing w:line="353" w:lineRule="auto"/>
        <w:ind w:firstLine="709"/>
        <w:rPr>
          <w:rFonts w:eastAsia="仿宋_GB2312" w:cs="仿宋"/>
          <w:bCs/>
          <w:sz w:val="32"/>
          <w:szCs w:val="32"/>
          <w:lang w:bidi="ar-SA"/>
        </w:rPr>
      </w:pPr>
      <w:r>
        <w:rPr>
          <w:rFonts w:eastAsia="仿宋_GB2312" w:cs="仿宋"/>
          <w:bCs/>
          <w:sz w:val="32"/>
          <w:szCs w:val="32"/>
          <w:lang w:bidi="ar-SA"/>
        </w:rPr>
        <w:t>追加招商引资经费、人员经费、目标绩效奖、金融风险防控等11笔经费合计84.22万元，追减目标绩效奖等3笔经费合计4.22万元，追加（含追减）经费合计80万元；支出80万元。</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（三）专项资金安排及支出情况。</w:t>
      </w:r>
    </w:p>
    <w:p>
      <w:pPr>
        <w:pStyle w:val="17"/>
        <w:adjustRightInd w:val="0"/>
        <w:snapToGrid w:val="0"/>
        <w:spacing w:line="353" w:lineRule="auto"/>
        <w:ind w:firstLineChars="200" w:firstLine="640"/>
        <w:jc w:val="left"/>
        <w:rPr>
          <w:rFonts w:ascii="Times New Roman" w:eastAsia="仿宋_GB2312" w:cs="仿宋" w:hAnsi="Times New Roman"/>
          <w:bCs/>
          <w:sz w:val="32"/>
          <w:szCs w:val="32"/>
          <w:lang w:val="en-US" w:bidi="ar-SA"/>
        </w:rPr>
      </w:pPr>
      <w:r>
        <w:rPr>
          <w:rFonts w:ascii="Times New Roman" w:eastAsia="仿宋_GB2312" w:cs="仿宋" w:hAnsi="Times New Roman"/>
          <w:bCs/>
          <w:sz w:val="32"/>
          <w:szCs w:val="32"/>
          <w:lang w:bidi="ar-SA"/>
        </w:rPr>
        <w:t>防范和化解金融风险、重点金融机构监管、招商引资等7项专项工作安排资金共计57.68万元，追减0.79万元，专项资金安排合计56.89万元，支出56.89万元。</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（四）其他资金收支及结转结余使用情况。</w:t>
      </w:r>
    </w:p>
    <w:p>
      <w:pPr>
        <w:pStyle w:val="17"/>
        <w:adjustRightInd w:val="0"/>
        <w:snapToGrid w:val="0"/>
        <w:spacing w:line="353" w:lineRule="auto"/>
        <w:ind w:firstLineChars="250" w:firstLine="800"/>
        <w:jc w:val="left"/>
        <w:rPr>
          <w:rFonts w:ascii="仿宋_GB2312" w:eastAsia="仿宋_GB2312" w:cs="仿宋_GB2312" w:hint="eastAsia"/>
          <w:sz w:val="32"/>
          <w:szCs w:val="32"/>
          <w:lang w:bidi="ar-SA"/>
        </w:rPr>
      </w:pPr>
      <w:r>
        <w:rPr>
          <w:rFonts w:ascii="仿宋_GB2312" w:eastAsia="仿宋_GB2312" w:cs="仿宋_GB2312" w:hint="eastAsia"/>
          <w:sz w:val="32"/>
          <w:szCs w:val="32"/>
          <w:lang w:bidi="ar-SA"/>
        </w:rPr>
        <w:t>无。</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（五）其他需要说明的情况。</w:t>
      </w:r>
    </w:p>
    <w:p>
      <w:pPr>
        <w:pStyle w:val="17"/>
        <w:adjustRightInd w:val="0"/>
        <w:snapToGrid w:val="0"/>
        <w:spacing w:line="353" w:lineRule="auto"/>
        <w:ind w:firstLineChars="250" w:firstLine="800"/>
        <w:jc w:val="left"/>
        <w:rPr>
          <w:rFonts w:ascii="仿宋_GB2312" w:eastAsia="仿宋_GB2312" w:cs="仿宋_GB2312" w:hint="eastAsia"/>
          <w:sz w:val="32"/>
          <w:szCs w:val="32"/>
          <w:lang w:bidi="ar-SA"/>
        </w:rPr>
      </w:pPr>
      <w:r>
        <w:rPr>
          <w:rFonts w:ascii="仿宋_GB2312" w:eastAsia="仿宋_GB2312" w:cs="仿宋_GB2312" w:hint="eastAsia"/>
          <w:sz w:val="32"/>
          <w:szCs w:val="32"/>
          <w:lang w:bidi="ar-SA"/>
        </w:rPr>
        <w:t>无。</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黑体" w:eastAsia="黑体" w:cs="仿宋_GB2312" w:hint="eastAsia"/>
          <w:sz w:val="32"/>
          <w:szCs w:val="32"/>
          <w:lang w:bidi="ar-SA"/>
        </w:rPr>
        <w:t>三、绩效目标完成情况分析</w:t>
      </w:r>
    </w:p>
    <w:p>
      <w:pPr>
        <w:pStyle w:val="17"/>
        <w:numPr>
          <w:ilvl w:val="0"/>
          <w:numId w:val="4"/>
        </w:numPr>
        <w:adjustRightInd w:val="0"/>
        <w:snapToGrid w:val="0"/>
        <w:spacing w:line="353" w:lineRule="auto"/>
        <w:jc w:val="left"/>
        <w:rPr>
          <w:rFonts w:ascii="楷体" w:eastAsia="楷体" w:cs="仿宋_GB2312" w:hint="eastAsia"/>
          <w:sz w:val="32"/>
          <w:szCs w:val="32"/>
          <w:lang w:bidi="ar-SA"/>
        </w:rPr>
      </w:pPr>
      <w:r>
        <w:rPr>
          <w:rFonts w:ascii="楷体" w:eastAsia="楷体" w:cs="仿宋_GB2312" w:hint="eastAsia"/>
          <w:sz w:val="32"/>
          <w:szCs w:val="32"/>
          <w:lang w:bidi="ar-SA"/>
        </w:rPr>
        <w:t>市级财政资金绩效目标完成情况。</w:t>
      </w:r>
    </w:p>
    <w:p>
      <w:pPr>
        <w:pStyle w:val="17"/>
        <w:adjustRightInd w:val="0"/>
        <w:snapToGrid w:val="0"/>
        <w:spacing w:line="353" w:lineRule="auto"/>
        <w:ind w:firstLineChars="200" w:firstLine="640"/>
        <w:jc w:val="left"/>
        <w:rPr>
          <w:rFonts w:ascii="仿宋_GB2312" w:eastAsia="仿宋_GB2312" w:cs="仿宋_GB2312" w:hint="eastAsia"/>
          <w:b/>
          <w:bCs/>
          <w:sz w:val="32"/>
          <w:szCs w:val="32"/>
          <w:lang w:bidi="ar-SA"/>
        </w:rPr>
      </w:pPr>
      <w:r>
        <w:rPr>
          <w:rFonts w:ascii="仿宋_GB2312" w:eastAsia="仿宋_GB2312" w:cs="仿宋_GB2312" w:hint="eastAsia"/>
          <w:b/>
          <w:bCs/>
          <w:sz w:val="32"/>
          <w:szCs w:val="32"/>
          <w:lang w:bidi="ar-SA"/>
        </w:rPr>
        <w:t>1.年初部门预算绩效目标完成情况。</w:t>
      </w:r>
    </w:p>
    <w:p>
      <w:pPr>
        <w:adjustRightInd w:val="0"/>
        <w:snapToGrid w:val="0"/>
        <w:spacing w:line="353" w:lineRule="auto"/>
        <w:ind w:left="0" w:firstLineChars="200" w:firstLine="640"/>
        <w:rPr>
          <w:rFonts w:eastAsia="仿宋_GB2312" w:cs="仿宋"/>
          <w:bCs/>
          <w:sz w:val="32"/>
          <w:szCs w:val="32"/>
          <w:lang w:bidi="ar-SA"/>
        </w:rPr>
      </w:pPr>
      <w:r>
        <w:rPr>
          <w:rFonts w:eastAsia="仿宋_GB2312" w:cs="仿宋"/>
          <w:bCs/>
          <w:sz w:val="32"/>
          <w:szCs w:val="32"/>
          <w:lang w:bidi="ar-SA"/>
        </w:rPr>
        <w:t>（1）202</w:t>
      </w:r>
      <w:r>
        <w:rPr>
          <w:rFonts w:eastAsia="仿宋_GB2312" w:cs="仿宋"/>
          <w:bCs/>
          <w:sz w:val="32"/>
          <w:szCs w:val="32"/>
          <w:lang w:val="en-US" w:bidi="ar-SA"/>
        </w:rPr>
        <w:t>1</w:t>
      </w:r>
      <w:r>
        <w:rPr>
          <w:rFonts w:eastAsia="仿宋_GB2312" w:cs="仿宋"/>
          <w:bCs/>
          <w:sz w:val="32"/>
          <w:szCs w:val="32"/>
          <w:lang w:bidi="ar-SA"/>
        </w:rPr>
        <w:t>年度，全局整体绩效目标制定依据充分，符合国家法律法规、国民经济和社会发展总体规划及部门职能职责，能够反映部门履职和相关工作开展情况。依据整体绩效目标所设定的绩效指标清晰、细化、可衡量。2021年，全局一般公共预算财政拨款收入</w:t>
      </w:r>
      <w:r>
        <w:rPr>
          <w:rFonts w:eastAsia="仿宋_GB2312" w:cs="仿宋"/>
          <w:bCs/>
          <w:sz w:val="32"/>
          <w:szCs w:val="32"/>
          <w:lang w:val="en-US" w:bidi="ar-SA"/>
        </w:rPr>
        <w:t>294.78</w:t>
      </w:r>
      <w:r>
        <w:rPr>
          <w:rFonts w:eastAsia="仿宋_GB2312" w:cs="仿宋"/>
          <w:bCs/>
          <w:sz w:val="32"/>
          <w:szCs w:val="32"/>
          <w:lang w:bidi="ar-SA"/>
        </w:rPr>
        <w:t>万元，支出</w:t>
      </w:r>
      <w:r>
        <w:rPr>
          <w:rFonts w:eastAsia="仿宋_GB2312" w:cs="仿宋"/>
          <w:bCs/>
          <w:sz w:val="32"/>
          <w:szCs w:val="32"/>
          <w:lang w:val="en-US" w:bidi="ar-SA"/>
        </w:rPr>
        <w:t>294.78</w:t>
      </w:r>
      <w:r>
        <w:rPr>
          <w:rFonts w:eastAsia="仿宋_GB2312" w:cs="仿宋"/>
          <w:bCs/>
          <w:sz w:val="32"/>
          <w:szCs w:val="32"/>
          <w:lang w:bidi="ar-SA"/>
        </w:rPr>
        <w:t>元，预算支出完成100%，无违规记录。</w:t>
      </w:r>
    </w:p>
    <w:p>
      <w:pPr>
        <w:adjustRightInd w:val="0"/>
        <w:snapToGrid w:val="0"/>
        <w:spacing w:line="353" w:lineRule="auto"/>
        <w:ind w:firstLine="624"/>
        <w:rPr>
          <w:rFonts w:eastAsia="仿宋_GB2312" w:cs="仿宋"/>
          <w:bCs/>
          <w:sz w:val="32"/>
          <w:szCs w:val="32"/>
          <w:lang w:bidi="ar-SA"/>
        </w:rPr>
      </w:pPr>
      <w:r>
        <w:rPr>
          <w:rFonts w:eastAsia="仿宋_GB2312" w:cs="仿宋" w:hint="eastAsia"/>
          <w:bCs/>
          <w:sz w:val="32"/>
          <w:szCs w:val="32"/>
          <w:lang w:val="en-US" w:eastAsia="zh-CN" w:bidi="ar-SA"/>
        </w:rPr>
        <w:t>2021年调整</w:t>
      </w:r>
      <w:r>
        <w:rPr>
          <w:rFonts w:eastAsia="仿宋_GB2312" w:cs="仿宋"/>
          <w:bCs/>
          <w:sz w:val="32"/>
          <w:szCs w:val="32"/>
          <w:lang w:bidi="ar-SA"/>
        </w:rPr>
        <w:t>预算中基本支出</w:t>
      </w:r>
      <w:r>
        <w:rPr>
          <w:rFonts w:eastAsia="仿宋_GB2312" w:cs="仿宋"/>
          <w:bCs/>
          <w:sz w:val="32"/>
          <w:szCs w:val="32"/>
          <w:lang w:val="en-US" w:bidi="ar-SA"/>
        </w:rPr>
        <w:t>237.89</w:t>
      </w:r>
      <w:r>
        <w:rPr>
          <w:rFonts w:eastAsia="仿宋_GB2312" w:cs="仿宋"/>
          <w:bCs/>
          <w:sz w:val="32"/>
          <w:szCs w:val="32"/>
          <w:lang w:bidi="ar-SA"/>
        </w:rPr>
        <w:t>万元，主要用于工资福利、行政运行、办公、事业运行等。</w:t>
      </w:r>
    </w:p>
    <w:p>
      <w:pPr>
        <w:adjustRightInd w:val="0"/>
        <w:snapToGrid w:val="0"/>
        <w:spacing w:line="353" w:lineRule="auto"/>
        <w:ind w:firstLineChars="150" w:firstLine="480"/>
        <w:rPr>
          <w:rFonts w:ascii="仿宋_GB2312" w:eastAsia="仿宋_GB2312" w:cs="仿宋_GB2312" w:hint="eastAsia"/>
          <w:b/>
          <w:bCs/>
          <w:sz w:val="32"/>
          <w:szCs w:val="32"/>
          <w:lang w:bidi="ar-SA"/>
        </w:rPr>
      </w:pPr>
      <w:r>
        <w:rPr>
          <w:rFonts w:ascii="仿宋_GB2312" w:eastAsia="仿宋_GB2312" w:cs="仿宋_GB2312" w:hint="eastAsia"/>
          <w:b/>
          <w:bCs/>
          <w:sz w:val="32"/>
          <w:szCs w:val="32"/>
          <w:lang w:bidi="ar-SA"/>
        </w:rPr>
        <w:t>（2）效益指标完成情况分析。</w:t>
      </w:r>
    </w:p>
    <w:p>
      <w:pPr>
        <w:widowControl/>
        <w:adjustRightInd w:val="0"/>
        <w:snapToGrid w:val="0"/>
        <w:spacing w:line="353" w:lineRule="auto"/>
        <w:ind w:left="0" w:firstLineChars="200" w:firstLine="640"/>
        <w:textAlignment w:val="baseline"/>
        <w:rPr>
          <w:rFonts w:eastAsia="仿宋_GB2312" w:cs="仿宋"/>
          <w:bCs/>
          <w:sz w:val="32"/>
          <w:szCs w:val="32"/>
          <w:lang w:bidi="ar-SA"/>
        </w:rPr>
      </w:pPr>
      <w:r>
        <w:rPr>
          <w:rFonts w:ascii="仿宋_GB2312" w:eastAsia="仿宋_GB2312" w:cs="仿宋" w:hint="eastAsia"/>
          <w:b/>
          <w:bCs/>
          <w:sz w:val="32"/>
          <w:szCs w:val="32"/>
          <w:lang w:eastAsia="zh-CN" w:bidi="ar-SA"/>
        </w:rPr>
        <w:fldChar w:fldCharType="begin"/>
      </w:r>
      <w:r>
        <w:rPr>
          <w:rFonts w:ascii="仿宋_GB2312" w:eastAsia="仿宋_GB2312" w:cs="仿宋" w:hint="eastAsia"/>
          <w:b/>
          <w:bCs/>
          <w:sz w:val="32"/>
          <w:szCs w:val="32"/>
          <w:lang w:eastAsia="zh-CN" w:bidi="ar-SA"/>
        </w:rPr>
        <w:instrText>= 1 \* GB3</w:instrText>
      </w:r>
      <w:r>
        <w:rPr>
          <w:rFonts w:ascii="仿宋_GB2312" w:eastAsia="仿宋_GB2312" w:cs="仿宋" w:hint="eastAsia"/>
          <w:b/>
          <w:bCs/>
          <w:sz w:val="32"/>
          <w:szCs w:val="32"/>
          <w:lang w:eastAsia="zh-CN" w:bidi="ar-SA"/>
        </w:rPr>
        <w:fldChar w:fldCharType="separate"/>
      </w:r>
      <w:r>
        <w:rPr>
          <w:rFonts w:ascii="仿宋_GB2312" w:eastAsia="仿宋_GB2312" w:cs="仿宋" w:hint="eastAsia"/>
          <w:b/>
          <w:bCs/>
          <w:sz w:val="32"/>
          <w:szCs w:val="32"/>
          <w:lang w:eastAsia="zh-CN" w:bidi="ar-SA"/>
        </w:rPr>
        <w:t>①</w:t>
      </w:r>
      <w:r>
        <w:rPr>
          <w:rFonts w:ascii="仿宋_GB2312" w:eastAsia="仿宋_GB2312" w:cs="仿宋" w:hint="eastAsia"/>
          <w:b/>
          <w:bCs/>
          <w:sz w:val="32"/>
          <w:szCs w:val="32"/>
          <w:lang w:eastAsia="zh-CN" w:bidi="ar-SA"/>
        </w:rPr>
        <w:fldChar w:fldCharType="end"/>
      </w:r>
      <w:r>
        <w:rPr>
          <w:rFonts w:ascii="仿宋_GB2312" w:eastAsia="仿宋_GB2312" w:cs="仿宋" w:hint="eastAsia"/>
          <w:b/>
          <w:bCs/>
          <w:sz w:val="32"/>
          <w:szCs w:val="32"/>
        </w:rPr>
        <w:t>提升</w:t>
      </w:r>
      <w:r>
        <w:rPr>
          <w:rFonts w:ascii="仿宋_GB2312" w:eastAsia="仿宋_GB2312" w:cs="仿宋" w:hint="eastAsia"/>
          <w:b/>
          <w:bCs/>
          <w:sz w:val="32"/>
          <w:szCs w:val="32"/>
          <w:lang w:eastAsia="zh-CN"/>
        </w:rPr>
        <w:t>金融服务经济质效。</w:t>
      </w:r>
      <w:r>
        <w:rPr>
          <w:rFonts w:eastAsia="仿宋_GB2312" w:cs="仿宋"/>
          <w:bCs/>
          <w:sz w:val="32"/>
          <w:szCs w:val="32"/>
        </w:rPr>
        <w:t>一是搭平台。</w:t>
      </w:r>
      <w:r>
        <w:rPr>
          <w:rFonts w:eastAsia="仿宋_GB2312" w:cs="仿宋"/>
          <w:bCs/>
          <w:sz w:val="32"/>
          <w:szCs w:val="32"/>
          <w:lang w:eastAsia="zh-CN" w:bidi="ar-SA"/>
        </w:rPr>
        <w:t>持续深化</w:t>
      </w:r>
      <w:r>
        <w:rPr>
          <w:rFonts w:eastAsia="仿宋_GB2312" w:cs="仿宋"/>
          <w:bCs/>
          <w:sz w:val="32"/>
          <w:szCs w:val="32"/>
          <w:lang w:bidi="ar-SA"/>
        </w:rPr>
        <w:t>政银</w:t>
      </w:r>
      <w:r>
        <w:rPr>
          <w:rFonts w:eastAsia="仿宋_GB2312" w:cs="仿宋"/>
          <w:bCs/>
          <w:sz w:val="32"/>
          <w:szCs w:val="32"/>
          <w:lang w:eastAsia="zh-CN" w:bidi="ar-SA"/>
        </w:rPr>
        <w:t>合作</w:t>
      </w:r>
      <w:r>
        <w:rPr>
          <w:rFonts w:eastAsia="仿宋_GB2312" w:cs="仿宋"/>
          <w:bCs/>
          <w:sz w:val="32"/>
          <w:szCs w:val="32"/>
          <w:lang w:bidi="ar-SA"/>
        </w:rPr>
        <w:t>，</w:t>
      </w:r>
      <w:r>
        <w:rPr>
          <w:rFonts w:eastAsia="仿宋_GB2312" w:cs="仿宋"/>
          <w:bCs/>
          <w:sz w:val="32"/>
          <w:szCs w:val="32"/>
        </w:rPr>
        <w:t>召开2021年度全</w:t>
      </w:r>
      <w:r>
        <w:rPr>
          <w:rFonts w:eastAsia="仿宋_GB2312" w:cs="仿宋"/>
          <w:bCs/>
          <w:sz w:val="32"/>
          <w:szCs w:val="32"/>
          <w:lang w:eastAsia="zh-CN"/>
        </w:rPr>
        <w:t>市金融工作暨政银企对接会，推介重点项目43个，其中14个重大项目获得银行授信216.33亿元；与10家银行机构签订“十四五”战略合作协议，涵盖</w:t>
      </w:r>
      <w:r>
        <w:rPr>
          <w:rFonts w:eastAsia="仿宋_GB2312" w:cs="仿宋"/>
          <w:bCs/>
          <w:sz w:val="32"/>
          <w:szCs w:val="32"/>
          <w:lang w:bidi="ar-SA"/>
        </w:rPr>
        <w:t>重大项目90个，总投资2,005亿元，意向融资1,308亿元。</w:t>
      </w:r>
      <w:r>
        <w:rPr>
          <w:rFonts w:eastAsia="仿宋_GB2312" w:cs="仿宋"/>
          <w:bCs/>
          <w:sz w:val="32"/>
          <w:szCs w:val="32"/>
          <w:lang w:eastAsia="zh-CN" w:bidi="ar-SA"/>
        </w:rPr>
        <w:t>二是强引导。</w:t>
      </w:r>
      <w:r>
        <w:rPr>
          <w:rFonts w:eastAsia="仿宋_GB2312" w:cs="仿宋"/>
          <w:bCs/>
          <w:sz w:val="32"/>
          <w:szCs w:val="32"/>
          <w:lang w:eastAsia="zh-CN"/>
        </w:rPr>
        <w:t>落实有扶有控的差异化信贷政策，推动信贷资源向重点领域和薄弱环节倾斜。</w:t>
      </w:r>
      <w:r>
        <w:rPr>
          <w:rFonts w:eastAsia="仿宋_GB2312" w:cs="仿宋"/>
          <w:bCs/>
          <w:sz w:val="32"/>
          <w:szCs w:val="32"/>
          <w:lang w:bidi="ar-SA"/>
        </w:rPr>
        <w:t>2021年，</w:t>
      </w:r>
      <w:r>
        <w:rPr>
          <w:rFonts w:eastAsia="仿宋_GB2312" w:cs="仿宋"/>
          <w:bCs/>
          <w:sz w:val="32"/>
          <w:szCs w:val="32"/>
          <w:lang w:eastAsia="zh-CN" w:bidi="ar-SA"/>
        </w:rPr>
        <w:t>全市制造业贷款余额264.19</w:t>
      </w:r>
      <w:r>
        <w:rPr>
          <w:rFonts w:eastAsia="仿宋_GB2312" w:cs="仿宋"/>
          <w:bCs/>
          <w:sz w:val="32"/>
          <w:szCs w:val="32"/>
          <w:lang w:bidi="ar-SA"/>
        </w:rPr>
        <w:t>亿元，</w:t>
      </w:r>
      <w:r>
        <w:rPr>
          <w:rFonts w:eastAsia="仿宋_GB2312" w:cs="仿宋"/>
          <w:bCs/>
          <w:sz w:val="32"/>
          <w:szCs w:val="32"/>
          <w:lang w:eastAsia="zh-CN" w:bidi="ar-SA"/>
        </w:rPr>
        <w:t>占全市贷款余额的34.57%；全口径小微企业贷款余额257.1亿元，占全市贷款余额的33.65%；涉农贷款余额155.03亿元，占全市贷款余额的20.29%</w:t>
      </w:r>
      <w:r>
        <w:rPr>
          <w:rFonts w:eastAsia="仿宋_GB2312" w:cs="仿宋"/>
          <w:bCs/>
          <w:sz w:val="32"/>
          <w:szCs w:val="32"/>
          <w:lang w:bidi="ar-SA"/>
        </w:rPr>
        <w:t>。</w:t>
      </w:r>
      <w:r>
        <w:rPr>
          <w:rFonts w:eastAsia="仿宋_GB2312" w:cs="仿宋"/>
          <w:bCs/>
          <w:sz w:val="32"/>
          <w:szCs w:val="32"/>
          <w:lang w:eastAsia="zh-CN" w:bidi="ar-SA"/>
        </w:rPr>
        <w:t>三是精培育。打好财金互动政策</w:t>
      </w:r>
      <w:r>
        <w:rPr>
          <w:rFonts w:eastAsia="仿宋_GB2312" w:cs="仿宋"/>
          <w:bCs/>
          <w:sz w:val="32"/>
          <w:szCs w:val="32"/>
          <w:lang w:bidi="ar-SA"/>
        </w:rPr>
        <w:t>“组合拳”</w:t>
      </w:r>
      <w:r>
        <w:rPr>
          <w:rFonts w:eastAsia="仿宋_GB2312" w:cs="仿宋"/>
          <w:bCs/>
          <w:sz w:val="32"/>
          <w:szCs w:val="32"/>
          <w:lang w:eastAsia="zh-CN"/>
        </w:rPr>
        <w:t>，鼓励企业主动对接资本市场</w:t>
      </w:r>
      <w:r>
        <w:rPr>
          <w:rFonts w:eastAsia="仿宋_GB2312" w:cs="仿宋"/>
          <w:bCs/>
          <w:sz w:val="32"/>
          <w:szCs w:val="32"/>
          <w:lang w:eastAsia="zh-CN" w:bidi="ar-SA"/>
        </w:rPr>
        <w:t>。</w:t>
      </w:r>
      <w:r>
        <w:rPr>
          <w:rFonts w:eastAsia="仿宋_GB2312" w:cs="仿宋"/>
          <w:bCs/>
          <w:sz w:val="32"/>
          <w:szCs w:val="32"/>
          <w:lang w:bidi="ar-SA"/>
        </w:rPr>
        <w:t>实施</w:t>
      </w:r>
      <w:r>
        <w:rPr>
          <w:rFonts w:eastAsia="仿宋_GB2312" w:cs="仿宋"/>
          <w:bCs/>
          <w:sz w:val="32"/>
          <w:szCs w:val="32"/>
          <w:lang w:eastAsia="zh-CN" w:bidi="ar-SA"/>
        </w:rPr>
        <w:t>企业</w:t>
      </w:r>
      <w:r>
        <w:rPr>
          <w:rFonts w:eastAsia="仿宋_GB2312" w:cs="仿宋"/>
          <w:bCs/>
          <w:sz w:val="32"/>
          <w:szCs w:val="32"/>
          <w:lang w:bidi="ar-SA"/>
        </w:rPr>
        <w:t>上市梯次培育计划，秉扬科技成功登陆北交所，成为全省首批4家北交所上市企业之一</w:t>
      </w:r>
      <w:r>
        <w:rPr>
          <w:rFonts w:eastAsia="仿宋_GB2312" w:cs="仿宋"/>
          <w:bCs/>
          <w:sz w:val="32"/>
          <w:szCs w:val="32"/>
          <w:lang w:eastAsia="zh-CN" w:bidi="ar-SA"/>
        </w:rPr>
        <w:t>；注重培育</w:t>
      </w:r>
      <w:r>
        <w:rPr>
          <w:rFonts w:eastAsia="仿宋_GB2312" w:cs="仿宋"/>
          <w:bCs/>
          <w:sz w:val="32"/>
          <w:szCs w:val="32"/>
          <w:lang w:bidi="ar-SA"/>
        </w:rPr>
        <w:t>“专新特精”</w:t>
      </w:r>
      <w:r>
        <w:rPr>
          <w:rFonts w:eastAsia="仿宋_GB2312" w:cs="仿宋"/>
          <w:bCs/>
          <w:sz w:val="32"/>
          <w:szCs w:val="32"/>
          <w:lang w:eastAsia="zh-CN" w:bidi="ar-SA"/>
        </w:rPr>
        <w:t>企业</w:t>
      </w:r>
      <w:r>
        <w:rPr>
          <w:rFonts w:eastAsia="仿宋_GB2312" w:cs="仿宋"/>
          <w:bCs/>
          <w:sz w:val="32"/>
          <w:szCs w:val="32"/>
          <w:lang w:bidi="ar-SA"/>
        </w:rPr>
        <w:t>，2家企业入选省级上市企业后备库。</w:t>
      </w:r>
    </w:p>
    <w:p>
      <w:pPr>
        <w:adjustRightInd w:val="0"/>
        <w:snapToGrid w:val="0"/>
        <w:spacing w:line="353" w:lineRule="auto"/>
        <w:ind w:firstLineChars="200" w:firstLine="644"/>
        <w:rPr>
          <w:rFonts w:eastAsia="仿宋_GB2312" w:cs="仿宋"/>
          <w:bCs/>
          <w:sz w:val="32"/>
          <w:szCs w:val="32"/>
          <w:lang w:bidi="ar-SA"/>
        </w:rPr>
      </w:pPr>
      <w:r>
        <w:rPr>
          <w:rFonts w:ascii="仿宋_GB2312" w:eastAsia="仿宋_GB2312" w:hint="eastAsia"/>
          <w:b/>
          <w:bCs/>
          <w:spacing w:val="-4"/>
          <w:sz w:val="33"/>
          <w:szCs w:val="33"/>
          <w:lang w:val="en-US" w:eastAsia="zh-CN"/>
        </w:rPr>
        <w:fldChar w:fldCharType="begin"/>
      </w:r>
      <w:r>
        <w:rPr>
          <w:rFonts w:ascii="仿宋_GB2312" w:eastAsia="仿宋_GB2312" w:hint="eastAsia"/>
          <w:b/>
          <w:bCs/>
          <w:spacing w:val="-4"/>
          <w:sz w:val="33"/>
          <w:szCs w:val="33"/>
          <w:lang w:val="en-US" w:eastAsia="zh-CN"/>
        </w:rPr>
        <w:instrText>= 2 \* GB3</w:instrText>
      </w:r>
      <w:r>
        <w:rPr>
          <w:rFonts w:ascii="仿宋_GB2312" w:eastAsia="仿宋_GB2312" w:hint="eastAsia"/>
          <w:b/>
          <w:bCs/>
          <w:spacing w:val="-4"/>
          <w:sz w:val="33"/>
          <w:szCs w:val="33"/>
          <w:lang w:val="en-US" w:eastAsia="zh-CN"/>
        </w:rPr>
        <w:fldChar w:fldCharType="separate"/>
      </w:r>
      <w:r>
        <w:rPr>
          <w:rFonts w:ascii="仿宋_GB2312" w:eastAsia="仿宋_GB2312" w:hint="eastAsia"/>
          <w:b/>
          <w:bCs/>
          <w:spacing w:val="-4"/>
          <w:sz w:val="33"/>
          <w:szCs w:val="33"/>
          <w:lang w:val="en-US" w:eastAsia="zh-CN"/>
        </w:rPr>
        <w:t>②</w:t>
      </w:r>
      <w:r>
        <w:rPr>
          <w:rFonts w:ascii="仿宋_GB2312" w:eastAsia="仿宋_GB2312" w:hint="eastAsia"/>
          <w:b/>
          <w:bCs/>
          <w:spacing w:val="-4"/>
          <w:sz w:val="33"/>
          <w:szCs w:val="33"/>
          <w:lang w:val="en-US" w:eastAsia="zh-CN"/>
        </w:rPr>
        <w:fldChar w:fldCharType="end"/>
      </w:r>
      <w:r>
        <w:rPr>
          <w:rFonts w:ascii="仿宋_GB2312" w:eastAsia="仿宋_GB2312" w:hint="eastAsia"/>
          <w:b/>
          <w:bCs/>
          <w:kern w:val="0"/>
          <w:sz w:val="32"/>
          <w:szCs w:val="32"/>
        </w:rPr>
        <w:t>全力防范各类金融风险。</w:t>
      </w:r>
      <w:r>
        <w:rPr>
          <w:rFonts w:eastAsia="仿宋_GB2312" w:cs="仿宋"/>
          <w:bCs/>
          <w:sz w:val="32"/>
          <w:szCs w:val="32"/>
          <w:lang w:bidi="ar-SA"/>
        </w:rPr>
        <w:t>一是</w:t>
      </w:r>
      <w:r>
        <w:rPr>
          <w:rFonts w:eastAsia="仿宋_GB2312" w:cs="仿宋"/>
          <w:bCs/>
          <w:sz w:val="32"/>
          <w:szCs w:val="32"/>
          <w:lang w:val="en-US" w:bidi="ar-SA"/>
        </w:rPr>
        <w:t>防范化解银行机构风险。全年累计处置不良贷款18.76亿元，银行机构不良贷款率降至2.46%，为历年最低，牢牢守住不发生系统性金融风险底线。二是加强地方金融组织监管。督促金丰小贷问题整改，指导5家担保公司合规经营，推动3家“僵尸典当”退出行业。</w:t>
      </w:r>
      <w:r>
        <w:rPr>
          <w:rFonts w:eastAsia="仿宋_GB2312" w:cs="仿宋"/>
          <w:bCs/>
          <w:sz w:val="32"/>
          <w:szCs w:val="32"/>
          <w:lang w:bidi="ar-SA"/>
        </w:rPr>
        <w:t>三是防范和处置非法集资。加快处置16件非法集资存量案件，</w:t>
      </w:r>
      <w:r>
        <w:rPr>
          <w:rFonts w:eastAsia="仿宋_GB2312" w:cs="仿宋"/>
          <w:bCs/>
          <w:sz w:val="32"/>
          <w:szCs w:val="32"/>
          <w:lang w:val="en-US" w:bidi="ar-SA"/>
        </w:rPr>
        <w:t>完善常态化防范宣传工作机制，全年新增1例非法集资案件，案件发生率同比下降91%。四是</w:t>
      </w:r>
      <w:r>
        <w:rPr>
          <w:rFonts w:eastAsia="仿宋_GB2312" w:cs="仿宋"/>
          <w:bCs/>
          <w:sz w:val="32"/>
          <w:szCs w:val="32"/>
          <w:lang w:bidi="ar-SA"/>
        </w:rPr>
        <w:t>有序防范重大风险。</w:t>
      </w:r>
      <w:r>
        <w:rPr>
          <w:rFonts w:eastAsia="仿宋_GB2312" w:cs="仿宋"/>
          <w:bCs/>
          <w:sz w:val="32"/>
          <w:szCs w:val="32"/>
          <w:lang w:val="en-US" w:bidi="ar-SA"/>
        </w:rPr>
        <w:t>配合做好四川信托、恒大城等涉稳事件风险处置；加强市县（区）国企定向融资风险监测预警</w:t>
      </w:r>
      <w:r>
        <w:rPr>
          <w:rFonts w:eastAsia="仿宋_GB2312" w:cs="仿宋"/>
          <w:bCs/>
          <w:sz w:val="32"/>
          <w:szCs w:val="32"/>
          <w:lang w:bidi="ar-SA"/>
        </w:rPr>
        <w:t>。</w:t>
      </w:r>
    </w:p>
    <w:p>
      <w:pPr>
        <w:widowControl/>
        <w:adjustRightInd w:val="0"/>
        <w:snapToGrid w:val="0"/>
        <w:spacing w:line="353" w:lineRule="auto"/>
        <w:ind w:firstLine="616"/>
        <w:textAlignment w:val="baseline"/>
        <w:rPr>
          <w:rFonts w:eastAsia="仿宋_GB2312" w:cs="仿宋"/>
          <w:bCs/>
          <w:sz w:val="32"/>
          <w:szCs w:val="32"/>
          <w:lang w:bidi="ar-SA"/>
        </w:rPr>
      </w:pPr>
      <w:r>
        <w:rPr>
          <w:rFonts w:ascii="仿宋_GB2312" w:eastAsia="仿宋_GB2312" w:hint="eastAsia"/>
          <w:b/>
          <w:bCs/>
          <w:spacing w:val="-4"/>
          <w:sz w:val="33"/>
          <w:szCs w:val="33"/>
          <w:lang w:val="en-US" w:eastAsia="zh-CN"/>
        </w:rPr>
        <w:fldChar w:fldCharType="begin"/>
      </w:r>
      <w:r>
        <w:rPr>
          <w:rFonts w:ascii="仿宋_GB2312" w:eastAsia="仿宋_GB2312" w:hint="eastAsia"/>
          <w:b/>
          <w:bCs/>
          <w:spacing w:val="-4"/>
          <w:sz w:val="33"/>
          <w:szCs w:val="33"/>
          <w:lang w:val="en-US" w:eastAsia="zh-CN"/>
        </w:rPr>
        <w:instrText>= 3 \* GB3</w:instrText>
      </w:r>
      <w:r>
        <w:rPr>
          <w:rFonts w:ascii="仿宋_GB2312" w:eastAsia="仿宋_GB2312" w:hint="eastAsia"/>
          <w:b/>
          <w:bCs/>
          <w:spacing w:val="-4"/>
          <w:sz w:val="33"/>
          <w:szCs w:val="33"/>
          <w:lang w:val="en-US" w:eastAsia="zh-CN"/>
        </w:rPr>
        <w:fldChar w:fldCharType="separate"/>
      </w:r>
      <w:r>
        <w:rPr>
          <w:rFonts w:ascii="仿宋_GB2312" w:eastAsia="仿宋_GB2312" w:hint="eastAsia"/>
          <w:b/>
          <w:bCs/>
          <w:spacing w:val="-4"/>
          <w:sz w:val="33"/>
          <w:szCs w:val="33"/>
          <w:lang w:val="en-US" w:eastAsia="zh-CN"/>
        </w:rPr>
        <w:t>③</w:t>
      </w:r>
      <w:r>
        <w:rPr>
          <w:rFonts w:ascii="仿宋_GB2312" w:eastAsia="仿宋_GB2312" w:hint="eastAsia"/>
          <w:b/>
          <w:bCs/>
          <w:spacing w:val="-4"/>
          <w:sz w:val="33"/>
          <w:szCs w:val="33"/>
          <w:lang w:val="en-US" w:eastAsia="zh-CN"/>
        </w:rPr>
        <w:fldChar w:fldCharType="end"/>
      </w:r>
      <w:r>
        <w:rPr>
          <w:rFonts w:ascii="仿宋_GB2312" w:eastAsia="仿宋_GB2312" w:hint="eastAsia"/>
          <w:b/>
          <w:bCs/>
          <w:color w:val="auto"/>
          <w:kern w:val="0"/>
          <w:sz w:val="32"/>
          <w:szCs w:val="32"/>
          <w:vertAlign w:val="baseline"/>
          <w:lang w:val="en-US" w:eastAsia="zh-CN"/>
        </w:rPr>
        <w:t>持续深化金融领域改革。</w:t>
      </w:r>
      <w:r>
        <w:rPr>
          <w:rFonts w:eastAsia="仿宋_GB2312" w:cs="仿宋"/>
          <w:bCs/>
          <w:sz w:val="32"/>
          <w:szCs w:val="32"/>
          <w:lang w:eastAsia="zh-CN"/>
        </w:rPr>
        <w:t>一是抓谋划。编制《攀枝花市金融业“十四五”发展规划》，</w:t>
      </w:r>
      <w:r>
        <w:rPr>
          <w:rFonts w:eastAsia="仿宋_GB2312" w:cs="仿宋"/>
          <w:bCs/>
          <w:sz w:val="32"/>
          <w:szCs w:val="32"/>
          <w:lang w:bidi="ar-SA"/>
        </w:rPr>
        <w:t>全局谋划</w:t>
      </w:r>
      <w:r>
        <w:rPr>
          <w:rFonts w:eastAsia="仿宋_GB2312" w:cs="仿宋"/>
          <w:bCs/>
          <w:sz w:val="32"/>
          <w:szCs w:val="32"/>
          <w:lang w:eastAsia="zh-CN"/>
        </w:rPr>
        <w:t>“十四五”</w:t>
      </w:r>
      <w:r>
        <w:rPr>
          <w:rFonts w:eastAsia="仿宋_GB2312" w:cs="仿宋"/>
          <w:bCs/>
          <w:sz w:val="32"/>
          <w:szCs w:val="32"/>
          <w:lang w:bidi="ar-SA"/>
        </w:rPr>
        <w:t>时期全市金融发展目标和实施路径</w:t>
      </w:r>
      <w:r>
        <w:rPr>
          <w:rFonts w:eastAsia="仿宋_GB2312" w:cs="仿宋"/>
          <w:bCs/>
          <w:sz w:val="32"/>
          <w:szCs w:val="32"/>
          <w:lang w:eastAsia="zh-CN"/>
        </w:rPr>
        <w:t>。修订《攀枝花市金融机构支持地方经济发展考核办法》，引导银行机构加大对重点领域、重点产业的贷款投放力度。二是促创新。依托精准电力大数据，推出全川首个电力大数据金融产品“电眼看信用”；创新全国首个全应用场景互联网平台“钛融易”，助推钒钛产业向数字化经济转型。三是求实效。聚焦“攀钢钒钛产业生态圈”建设，积极探索应收账款质押融资新模式，累计为攀钢上下游企业提供融资支持60.72亿元。</w:t>
      </w:r>
    </w:p>
    <w:p>
      <w:pPr>
        <w:adjustRightInd w:val="0"/>
        <w:snapToGrid w:val="0"/>
        <w:spacing w:line="353" w:lineRule="auto"/>
        <w:ind w:firstLine="644"/>
        <w:rPr>
          <w:rFonts w:ascii="仿宋_GB2312" w:eastAsia="仿宋_GB2312" w:cs="仿宋_GB2312" w:hint="eastAsia"/>
          <w:b/>
          <w:bCs/>
          <w:sz w:val="32"/>
          <w:szCs w:val="32"/>
          <w:lang w:bidi="ar-SA"/>
        </w:rPr>
      </w:pPr>
      <w:r>
        <w:rPr>
          <w:rFonts w:ascii="仿宋_GB2312" w:eastAsia="仿宋_GB2312" w:cs="Calibri" w:hint="eastAsia"/>
          <w:b/>
          <w:bCs/>
          <w:sz w:val="32"/>
          <w:szCs w:val="32"/>
          <w:lang w:bidi="ar-SA"/>
        </w:rPr>
        <w:t>（3）</w:t>
      </w:r>
      <w:r>
        <w:rPr>
          <w:rFonts w:ascii="仿宋_GB2312" w:eastAsia="仿宋_GB2312" w:cs="仿宋_GB2312" w:hint="eastAsia"/>
          <w:b/>
          <w:bCs/>
          <w:sz w:val="32"/>
          <w:szCs w:val="32"/>
          <w:lang w:bidi="ar-SA"/>
        </w:rPr>
        <w:t>满意度指标完成情况分析。</w:t>
      </w:r>
    </w:p>
    <w:p>
      <w:pPr>
        <w:pStyle w:val="17"/>
        <w:adjustRightInd w:val="0"/>
        <w:snapToGrid w:val="0"/>
        <w:spacing w:line="353" w:lineRule="auto"/>
        <w:ind w:firstLineChars="200" w:firstLine="640"/>
        <w:jc w:val="left"/>
        <w:rPr>
          <w:rFonts w:ascii="Times New Roman" w:eastAsia="仿宋_GB2312" w:cs="仿宋" w:hAnsi="Times New Roman"/>
          <w:bCs/>
          <w:sz w:val="32"/>
          <w:szCs w:val="32"/>
        </w:rPr>
      </w:pPr>
      <w:r>
        <w:rPr>
          <w:rFonts w:ascii="Times New Roman" w:eastAsia="仿宋_GB2312" w:cs="仿宋" w:hAnsi="Times New Roman"/>
          <w:bCs/>
          <w:sz w:val="32"/>
          <w:szCs w:val="32"/>
        </w:rPr>
        <w:t>202</w:t>
      </w:r>
      <w:r>
        <w:rPr>
          <w:rFonts w:ascii="Times New Roman" w:eastAsia="仿宋_GB2312" w:cs="仿宋" w:hAnsi="Times New Roman"/>
          <w:bCs/>
          <w:sz w:val="32"/>
          <w:szCs w:val="32"/>
          <w:lang w:val="en-US"/>
        </w:rPr>
        <w:t>1</w:t>
      </w:r>
      <w:r>
        <w:rPr>
          <w:rFonts w:ascii="Times New Roman" w:eastAsia="仿宋_GB2312" w:cs="仿宋" w:hAnsi="Times New Roman"/>
          <w:bCs/>
          <w:sz w:val="32"/>
          <w:szCs w:val="32"/>
        </w:rPr>
        <w:t>年，市金融工作局圆满完成各项工作任务，得到市委市政府的充分肯定和社会认可。</w:t>
      </w:r>
    </w:p>
    <w:p>
      <w:pPr>
        <w:pStyle w:val="17"/>
        <w:adjustRightInd w:val="0"/>
        <w:snapToGrid w:val="0"/>
        <w:spacing w:line="353" w:lineRule="auto"/>
        <w:ind w:firstLineChars="200" w:firstLine="640"/>
        <w:jc w:val="left"/>
        <w:rPr>
          <w:rFonts w:ascii="仿宋_GB2312" w:eastAsia="仿宋_GB2312" w:cs="仿宋_GB2312" w:hint="eastAsia"/>
          <w:b/>
          <w:bCs/>
          <w:sz w:val="32"/>
          <w:szCs w:val="32"/>
          <w:lang w:bidi="ar-SA"/>
        </w:rPr>
      </w:pPr>
      <w:r>
        <w:rPr>
          <w:rFonts w:ascii="仿宋_GB2312" w:eastAsia="仿宋_GB2312" w:cs="仿宋_GB2312" w:hint="eastAsia"/>
          <w:b/>
          <w:bCs/>
          <w:sz w:val="32"/>
          <w:szCs w:val="32"/>
          <w:lang w:bidi="ar-SA"/>
        </w:rPr>
        <w:t>2.市级专项（项目）资金绩效目标完成情况</w:t>
      </w:r>
    </w:p>
    <w:p>
      <w:pPr>
        <w:pStyle w:val="17"/>
        <w:adjustRightInd w:val="0"/>
        <w:snapToGrid w:val="0"/>
        <w:spacing w:line="353" w:lineRule="auto"/>
        <w:ind w:firstLineChars="200" w:firstLine="640"/>
        <w:jc w:val="left"/>
        <w:rPr>
          <w:rFonts w:ascii="Times New Roman" w:eastAsia="仿宋_GB2312" w:cs="仿宋" w:hAnsi="Times New Roman" w:hint="eastAsia"/>
          <w:bCs/>
          <w:sz w:val="32"/>
          <w:szCs w:val="32"/>
          <w:shd w:val="clear" w:color="auto" w:fill="FFFFFF"/>
        </w:rPr>
      </w:pPr>
      <w:r>
        <w:rPr>
          <w:rFonts w:ascii="Times New Roman" w:eastAsia="仿宋_GB2312" w:cs="仿宋" w:hAnsi="Times New Roman" w:hint="eastAsia"/>
          <w:bCs/>
          <w:sz w:val="32"/>
          <w:szCs w:val="32"/>
          <w:shd w:val="clear" w:color="auto" w:fill="FFFFFF"/>
          <w:lang w:bidi="ar-SA"/>
        </w:rPr>
        <w:t>7项专项安排资金合计56.89万元，支出56.89万元，其中</w:t>
      </w:r>
      <w:r>
        <w:rPr>
          <w:rFonts w:ascii="Times New Roman" w:eastAsia="仿宋_GB2312" w:hAnsi="Times New Roman" w:hint="eastAsia"/>
          <w:sz w:val="32"/>
          <w:szCs w:val="32"/>
          <w:shd w:val="clear" w:color="auto" w:fill="FFFFFF"/>
        </w:rPr>
        <w:t>防范和化解地方金融风险收入14.99万元，支出14.99万元；重点金融机构监管收入10万元，支出10万元；物业管理收入4.73万元，支出4.73万元；招商引资收入14.69万元，支出14.69万元；公务接待收入0.43万元，支出0.43万元；关工委工作</w:t>
      </w:r>
      <w:r>
        <w:rPr>
          <w:rFonts w:ascii="Times New Roman" w:eastAsia="仿宋_GB2312" w:hAnsi="Times New Roman" w:hint="eastAsia"/>
          <w:sz w:val="32"/>
          <w:szCs w:val="32"/>
          <w:shd w:val="clear" w:color="auto" w:fill="FFFFFF"/>
          <w:lang w:val="en-US" w:eastAsia="zh-CN"/>
        </w:rPr>
        <w:t>经费</w:t>
      </w:r>
      <w:r>
        <w:rPr>
          <w:rFonts w:ascii="Times New Roman" w:eastAsia="仿宋_GB2312" w:hAnsi="Times New Roman" w:hint="eastAsia"/>
          <w:sz w:val="32"/>
          <w:szCs w:val="32"/>
          <w:shd w:val="clear" w:color="auto" w:fill="FFFFFF"/>
        </w:rPr>
        <w:t>收入0.2万元，支出0.2万元；其他组织事务（援藏和扶贫等）收入6.85万元，支出6.85万元。</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（二）上级专项（项目）资金绩效目标完成情况。</w:t>
      </w:r>
    </w:p>
    <w:p>
      <w:pPr>
        <w:pStyle w:val="17"/>
        <w:adjustRightInd w:val="0"/>
        <w:snapToGrid w:val="0"/>
        <w:spacing w:line="353" w:lineRule="auto"/>
        <w:ind w:firstLineChars="300" w:firstLine="960"/>
        <w:jc w:val="left"/>
        <w:rPr>
          <w:rFonts w:ascii="仿宋_GB2312" w:eastAsia="仿宋_GB2312" w:cs="仿宋_GB2312" w:hint="eastAsia"/>
          <w:sz w:val="32"/>
          <w:szCs w:val="32"/>
          <w:lang w:bidi="ar-SA"/>
        </w:rPr>
      </w:pPr>
      <w:r>
        <w:rPr>
          <w:rFonts w:ascii="仿宋_GB2312" w:eastAsia="仿宋_GB2312" w:cs="仿宋_GB2312" w:hint="eastAsia"/>
          <w:sz w:val="32"/>
          <w:szCs w:val="32"/>
          <w:lang w:bidi="ar-SA"/>
        </w:rPr>
        <w:t>无。</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（三）其他需要说明的情况</w:t>
      </w:r>
    </w:p>
    <w:p>
      <w:pPr>
        <w:pStyle w:val="17"/>
        <w:adjustRightInd w:val="0"/>
        <w:snapToGrid w:val="0"/>
        <w:spacing w:line="353" w:lineRule="auto"/>
        <w:ind w:firstLineChars="300" w:firstLine="960"/>
        <w:jc w:val="left"/>
        <w:rPr>
          <w:rFonts w:ascii="仿宋_GB2312" w:eastAsia="仿宋_GB2312" w:cs="仿宋_GB2312" w:hint="eastAsia"/>
          <w:sz w:val="32"/>
          <w:szCs w:val="32"/>
          <w:lang w:bidi="ar-SA"/>
        </w:rPr>
      </w:pPr>
      <w:r>
        <w:rPr>
          <w:rFonts w:ascii="楷体" w:eastAsia="楷体" w:cs="仿宋_GB2312" w:hint="eastAsia"/>
          <w:sz w:val="32"/>
          <w:szCs w:val="32"/>
          <w:lang w:bidi="ar-SA"/>
        </w:rPr>
        <w:t>无。</w:t>
      </w:r>
    </w:p>
    <w:p>
      <w:pPr>
        <w:pStyle w:val="17"/>
        <w:adjustRightInd w:val="0"/>
        <w:snapToGrid w:val="0"/>
        <w:spacing w:line="353" w:lineRule="auto"/>
        <w:ind w:firstLineChars="200" w:firstLine="640"/>
        <w:jc w:val="left"/>
        <w:rPr>
          <w:rFonts w:ascii="楷体" w:eastAsia="楷体" w:cs="仿宋_GB2312" w:hint="eastAsia"/>
          <w:sz w:val="32"/>
          <w:szCs w:val="32"/>
          <w:lang w:bidi="ar-SA"/>
        </w:rPr>
      </w:pPr>
      <w:r>
        <w:rPr>
          <w:rFonts w:ascii="楷体" w:eastAsia="楷体" w:cs="仿宋_GB2312" w:hint="eastAsia"/>
          <w:sz w:val="32"/>
          <w:szCs w:val="32"/>
          <w:lang w:bidi="ar-SA"/>
        </w:rPr>
        <w:t>（四）自评结论。</w:t>
      </w:r>
    </w:p>
    <w:p>
      <w:pPr>
        <w:adjustRightInd w:val="0"/>
        <w:snapToGrid w:val="0"/>
        <w:spacing w:line="353" w:lineRule="auto"/>
        <w:ind w:firstLine="624"/>
        <w:rPr>
          <w:rFonts w:ascii="仿宋_GB2312" w:eastAsia="仿宋_GB2312" w:hint="eastAsia"/>
          <w:spacing w:val="-4"/>
          <w:sz w:val="32"/>
          <w:szCs w:val="32"/>
        </w:rPr>
      </w:pPr>
      <w:r>
        <w:rPr>
          <w:rFonts w:ascii="仿宋_GB2312" w:eastAsia="仿宋_GB2312" w:hint="eastAsia"/>
          <w:spacing w:val="-4"/>
          <w:sz w:val="32"/>
          <w:szCs w:val="32"/>
        </w:rPr>
        <w:t>一年来，在市委、市政府的坚强领导下，市金融工作局牢固树立新发展理念，聚焦高质量发展，认真贯彻落实中央和省、市关于金融工作各项决策部署，紧紧围绕服务实体经济、防控金融风险和深化金融改革任务，持续推动金融业安全稳健运行，金融形势稳中向好，为全市经济发展提供有力支撑。</w:t>
      </w:r>
    </w:p>
    <w:p>
      <w:pPr>
        <w:pStyle w:val="17"/>
        <w:adjustRightInd w:val="0"/>
        <w:snapToGrid w:val="0"/>
        <w:spacing w:line="353" w:lineRule="auto"/>
        <w:ind w:firstLineChars="200" w:firstLine="640"/>
        <w:jc w:val="left"/>
        <w:rPr>
          <w:rFonts w:ascii="黑体" w:eastAsia="黑体" w:cs="仿宋_GB2312" w:hint="eastAsia"/>
          <w:sz w:val="32"/>
          <w:szCs w:val="32"/>
          <w:lang w:bidi="ar-SA"/>
        </w:rPr>
      </w:pPr>
      <w:r>
        <w:rPr>
          <w:rFonts w:ascii="黑体" w:eastAsia="黑体" w:cs="仿宋_GB2312" w:hint="eastAsia"/>
          <w:sz w:val="32"/>
          <w:szCs w:val="32"/>
          <w:lang w:bidi="ar-SA"/>
        </w:rPr>
        <w:t>四、偏离绩效目标的原因和下一步改进措施</w:t>
      </w:r>
    </w:p>
    <w:p>
      <w:pPr>
        <w:adjustRightInd w:val="0"/>
        <w:snapToGrid w:val="0"/>
        <w:spacing w:line="353" w:lineRule="auto"/>
        <w:ind w:firstLine="624"/>
        <w:rPr>
          <w:rFonts w:eastAsia="仿宋_GB2312" w:hint="eastAsia"/>
          <w:bCs/>
          <w:spacing w:val="-4"/>
          <w:sz w:val="32"/>
          <w:szCs w:val="32"/>
        </w:rPr>
      </w:pPr>
      <w:r>
        <w:rPr>
          <w:rFonts w:eastAsia="仿宋_GB2312" w:hint="eastAsia"/>
          <w:bCs/>
          <w:spacing w:val="-4"/>
          <w:sz w:val="32"/>
          <w:szCs w:val="32"/>
        </w:rPr>
        <w:t>按照预算绩效管理要求，市金融工作局对202</w:t>
      </w:r>
      <w:r>
        <w:rPr>
          <w:rFonts w:eastAsia="仿宋_GB2312" w:hint="eastAsia"/>
          <w:bCs/>
          <w:spacing w:val="-4"/>
          <w:sz w:val="32"/>
          <w:szCs w:val="32"/>
          <w:lang w:val="en-US" w:eastAsia="zh-CN"/>
        </w:rPr>
        <w:t>1</w:t>
      </w:r>
      <w:r>
        <w:rPr>
          <w:rFonts w:eastAsia="仿宋_GB2312" w:hint="eastAsia"/>
          <w:bCs/>
          <w:spacing w:val="-4"/>
          <w:sz w:val="32"/>
          <w:szCs w:val="32"/>
        </w:rPr>
        <w:t>年整体预算开展了绩效自评，</w:t>
      </w:r>
      <w:r>
        <w:rPr>
          <w:rFonts w:eastAsia="仿宋_GB2312"/>
          <w:bCs/>
          <w:spacing w:val="-4"/>
          <w:sz w:val="32"/>
          <w:szCs w:val="32"/>
        </w:rPr>
        <w:t>目标设置较为科学，</w:t>
      </w:r>
      <w:r>
        <w:rPr>
          <w:rFonts w:eastAsia="仿宋_GB2312" w:hint="eastAsia"/>
          <w:bCs/>
          <w:spacing w:val="-4"/>
          <w:sz w:val="32"/>
          <w:szCs w:val="32"/>
        </w:rPr>
        <w:t>目标</w:t>
      </w:r>
      <w:r>
        <w:rPr>
          <w:rFonts w:eastAsia="仿宋_GB2312"/>
          <w:bCs/>
          <w:spacing w:val="-4"/>
          <w:sz w:val="32"/>
          <w:szCs w:val="32"/>
        </w:rPr>
        <w:t>总体完成较好</w:t>
      </w:r>
      <w:r>
        <w:rPr>
          <w:rFonts w:eastAsia="仿宋_GB2312" w:hint="eastAsia"/>
          <w:bCs/>
          <w:spacing w:val="-4"/>
          <w:sz w:val="32"/>
          <w:szCs w:val="32"/>
        </w:rPr>
        <w:t>。下一步将明确、细化、量化</w:t>
      </w:r>
      <w:r>
        <w:rPr>
          <w:rFonts w:eastAsia="仿宋_GB2312"/>
          <w:bCs/>
          <w:spacing w:val="-4"/>
          <w:sz w:val="32"/>
          <w:szCs w:val="32"/>
        </w:rPr>
        <w:t>绩效指标，</w:t>
      </w:r>
      <w:r>
        <w:rPr>
          <w:rFonts w:eastAsia="仿宋_GB2312" w:hint="eastAsia"/>
          <w:bCs/>
          <w:spacing w:val="-4"/>
          <w:sz w:val="32"/>
          <w:szCs w:val="32"/>
        </w:rPr>
        <w:t>努力提升</w:t>
      </w:r>
      <w:r>
        <w:rPr>
          <w:rFonts w:eastAsia="仿宋_GB2312"/>
          <w:bCs/>
          <w:spacing w:val="-4"/>
          <w:sz w:val="32"/>
          <w:szCs w:val="32"/>
        </w:rPr>
        <w:t>绩效运用</w:t>
      </w:r>
      <w:r>
        <w:rPr>
          <w:rFonts w:eastAsia="仿宋_GB2312" w:hint="eastAsia"/>
          <w:bCs/>
          <w:spacing w:val="-4"/>
          <w:sz w:val="32"/>
          <w:szCs w:val="32"/>
        </w:rPr>
        <w:t>效益，</w:t>
      </w:r>
      <w:r>
        <w:rPr>
          <w:rFonts w:eastAsia="仿宋_GB2312"/>
          <w:bCs/>
          <w:spacing w:val="-4"/>
          <w:sz w:val="32"/>
          <w:szCs w:val="32"/>
        </w:rPr>
        <w:t>指导全局金融工作开展</w:t>
      </w:r>
      <w:r>
        <w:rPr>
          <w:rFonts w:eastAsia="仿宋_GB2312" w:hint="eastAsia"/>
          <w:bCs/>
          <w:spacing w:val="-4"/>
          <w:sz w:val="32"/>
          <w:szCs w:val="32"/>
        </w:rPr>
        <w:t>。</w:t>
      </w:r>
    </w:p>
    <w:p>
      <w:pPr>
        <w:pStyle w:val="17"/>
        <w:adjustRightInd w:val="0"/>
        <w:snapToGrid w:val="0"/>
        <w:spacing w:line="353" w:lineRule="auto"/>
        <w:ind w:firstLineChars="200" w:firstLine="640"/>
        <w:jc w:val="left"/>
        <w:rPr>
          <w:rFonts w:ascii="黑体" w:eastAsia="黑体" w:cs="仿宋_GB2312" w:hint="eastAsia"/>
          <w:sz w:val="32"/>
          <w:szCs w:val="32"/>
          <w:lang w:bidi="ar-SA"/>
        </w:rPr>
      </w:pPr>
      <w:r>
        <w:rPr>
          <w:rFonts w:ascii="黑体" w:eastAsia="黑体" w:cs="仿宋_GB2312" w:hint="eastAsia"/>
          <w:sz w:val="32"/>
          <w:szCs w:val="32"/>
          <w:lang w:bidi="ar-SA"/>
        </w:rPr>
        <w:t>五、绩效自评结果拟应用和公开公示情况</w:t>
      </w:r>
    </w:p>
    <w:p>
      <w:pPr>
        <w:adjustRightInd w:val="0"/>
        <w:snapToGrid w:val="0"/>
        <w:spacing w:line="353" w:lineRule="auto"/>
        <w:ind w:firstLine="624"/>
        <w:rPr>
          <w:rFonts w:ascii="Times New Roman" w:eastAsia="仿宋_GB2312" w:hAnsi="Times New Roman" w:hint="eastAsia"/>
          <w:bCs/>
          <w:spacing w:val="-4"/>
          <w:sz w:val="32"/>
          <w:szCs w:val="32"/>
        </w:rPr>
      </w:pPr>
      <w:r>
        <w:rPr>
          <w:rFonts w:ascii="Times New Roman" w:eastAsia="仿宋_GB2312" w:hAnsi="Times New Roman"/>
          <w:bCs/>
          <w:spacing w:val="-4"/>
          <w:sz w:val="32"/>
          <w:szCs w:val="32"/>
        </w:rPr>
        <w:t>市金融工作局将紧紧围绕习近平总书记对金融工作“三个六要”重要指示，按照十四五规划和2035远景目标部署要求，以市委“一三三三”总体发展战略为指导，全面推进服务实体经济、防控金融风险、深化金融改革各项工作，</w:t>
      </w:r>
      <w:r>
        <w:rPr>
          <w:rFonts w:ascii="Times New Roman" w:eastAsia="仿宋_GB2312" w:hAnsi="Times New Roman"/>
          <w:color w:val="auto"/>
          <w:spacing w:val="0"/>
          <w:kern w:val="0"/>
          <w:sz w:val="32"/>
          <w:szCs w:val="32"/>
          <w:vertAlign w:val="baseline"/>
          <w:lang w:val="en-US" w:eastAsia="zh-CN"/>
        </w:rPr>
        <w:t>持续推动</w:t>
      </w:r>
      <w:r>
        <w:rPr>
          <w:rFonts w:ascii="Times New Roman" w:eastAsia="仿宋_GB2312" w:hAnsi="Times New Roman"/>
          <w:color w:val="auto"/>
          <w:spacing w:val="0"/>
          <w:kern w:val="0"/>
          <w:sz w:val="32"/>
          <w:szCs w:val="32"/>
          <w:vertAlign w:val="baseline"/>
          <w:lang w:eastAsia="zh-CN"/>
        </w:rPr>
        <w:t>地方</w:t>
      </w:r>
      <w:r>
        <w:rPr>
          <w:rFonts w:ascii="Times New Roman" w:eastAsia="仿宋_GB2312" w:hAnsi="Times New Roman"/>
          <w:color w:val="auto"/>
          <w:spacing w:val="0"/>
          <w:kern w:val="0"/>
          <w:sz w:val="32"/>
          <w:szCs w:val="32"/>
          <w:vertAlign w:val="baseline"/>
          <w:lang w:val="en-US" w:eastAsia="zh-CN"/>
        </w:rPr>
        <w:t>金融稳健运行，为攀枝花经济社会高质量发展贡献金融力量</w:t>
      </w:r>
      <w:r>
        <w:rPr>
          <w:rFonts w:ascii="Times New Roman" w:eastAsia="仿宋_GB2312" w:hAnsi="Times New Roman"/>
          <w:bCs/>
          <w:spacing w:val="-4"/>
          <w:sz w:val="32"/>
          <w:szCs w:val="32"/>
        </w:rPr>
        <w:t>。</w:t>
      </w:r>
    </w:p>
    <w:p>
      <w:pPr>
        <w:adjustRightInd w:val="0"/>
        <w:snapToGrid w:val="0"/>
        <w:spacing w:line="353" w:lineRule="auto"/>
        <w:ind w:firstLine="624"/>
        <w:rPr>
          <w:rFonts w:ascii="Times New Roman" w:eastAsia="仿宋_GB2312" w:cs="仿宋_GB2312" w:hAnsi="Times New Roman" w:hint="eastAsia"/>
          <w:bCs/>
          <w:spacing w:val="-4"/>
          <w:sz w:val="32"/>
          <w:szCs w:val="32"/>
          <w:lang w:bidi="ar-SA"/>
        </w:rPr>
      </w:pPr>
      <w:r>
        <w:rPr>
          <w:rFonts w:eastAsia="仿宋_GB2312"/>
          <w:spacing w:val="-4"/>
          <w:sz w:val="32"/>
          <w:szCs w:val="32"/>
        </w:rPr>
        <w:t>绩效评估结果在攀枝花金融工作局官网对外公开。</w:t>
      </w:r>
    </w:p>
    <w:tbl>
      <w:tblPr>
        <w:tblpPr w:leftFromText="180" w:rightFromText="180" w:vertAnchor="text" w:horzAnchor="page" w:tblpX="987" w:tblpY="328"/>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int="eastAsia"/>
                <w:b/>
                <w:bCs/>
                <w:color w:val="auto"/>
                <w:kern w:val="0"/>
                <w:sz w:val="36"/>
                <w:szCs w:val="36"/>
                <w:lang w:eastAsia="zh-CN"/>
              </w:rPr>
            </w:pPr>
            <w:r>
              <w:rPr>
                <w:rFonts w:ascii="宋体" w:cs="宋体" w:hint="eastAsia"/>
                <w:b/>
                <w:bCs/>
                <w:color w:val="auto"/>
                <w:kern w:val="0"/>
                <w:sz w:val="36"/>
                <w:szCs w:val="36"/>
              </w:rPr>
              <w:t>项目绩效目标完成情况表</w:t>
            </w:r>
          </w:p>
          <w:p>
            <w:pPr>
              <w:widowControl/>
              <w:adjustRightInd w:val="0"/>
              <w:snapToGrid w:val="0"/>
              <w:spacing w:line="353" w:lineRule="auto"/>
              <w:jc w:val="center"/>
              <w:textAlignment w:val="center"/>
              <w:rPr>
                <w:rFonts w:ascii="宋体" w:cs="宋体"/>
                <w:color w:val="auto"/>
                <w:sz w:val="36"/>
                <w:szCs w:val="36"/>
              </w:rPr>
            </w:pPr>
            <w:r>
              <w:rPr>
                <w:rFonts w:ascii="宋体" w:cs="宋体"/>
                <w:color w:val="auto"/>
                <w:kern w:val="0"/>
                <w:sz w:val="36"/>
                <w:szCs w:val="36"/>
              </w:rPr>
              <w:t>(202</w:t>
            </w:r>
            <w:r>
              <w:rPr>
                <w:rFonts w:ascii="宋体" w:cs="宋体" w:hint="eastAsia"/>
                <w:color w:val="auto"/>
                <w:kern w:val="0"/>
                <w:sz w:val="36"/>
                <w:szCs w:val="36"/>
                <w:lang w:val="en-US" w:eastAsia="zh-CN"/>
              </w:rPr>
              <w:t>1</w:t>
            </w:r>
            <w:r>
              <w:rPr>
                <w:rFonts w:ascii="宋体" w:cs="宋体" w:hint="eastAsia"/>
                <w:color w:val="auto"/>
                <w:kern w:val="0"/>
                <w:sz w:val="36"/>
                <w:szCs w:val="36"/>
              </w:rPr>
              <w:t>年度</w:t>
            </w:r>
            <w:r>
              <w:rPr>
                <w:rFonts w:ascii="宋体" w:cs="宋体"/>
                <w:color w:val="auto"/>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攀枝花市金融工作局2021年预算</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攀枝花市金融工作局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预算执行情况</w:t>
            </w:r>
            <w:r>
              <w:rPr>
                <w:rFonts w:ascii="宋体" w:cs="宋体"/>
                <w:color w:val="auto"/>
                <w:kern w:val="0"/>
                <w:sz w:val="24"/>
              </w:rPr>
              <w:t>(</w:t>
            </w:r>
            <w:r>
              <w:rPr>
                <w:rFonts w:ascii="宋体" w:cs="宋体" w:hint="eastAsia"/>
                <w:color w:val="auto"/>
                <w:kern w:val="0"/>
                <w:sz w:val="24"/>
              </w:rPr>
              <w:t>万元</w:t>
            </w:r>
            <w:r>
              <w:rPr>
                <w:rFonts w:ascii="宋体" w:cs="宋体"/>
                <w:color w:val="auto"/>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预算数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294.78万元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执行数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294.78万元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294.78万元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其中</w:t>
            </w:r>
            <w:r>
              <w:rPr>
                <w:rFonts w:ascii="宋体" w:cs="宋体"/>
                <w:color w:val="auto"/>
                <w:kern w:val="0"/>
                <w:sz w:val="24"/>
              </w:rPr>
              <w:t>-</w:t>
            </w:r>
            <w:r>
              <w:rPr>
                <w:rFonts w:ascii="宋体" w:cs="宋体" w:hint="eastAsia"/>
                <w:color w:val="auto"/>
                <w:kern w:val="0"/>
                <w:sz w:val="24"/>
              </w:rPr>
              <w:t>财政拨款</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294.78万元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其它资金</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adjustRightInd w:val="0"/>
              <w:snapToGrid w:val="0"/>
              <w:spacing w:line="353" w:lineRule="auto"/>
              <w:jc w:val="center"/>
              <w:rPr>
                <w:rFonts w:ascii="宋体" w:cs="宋体"/>
                <w:color w:val="auto"/>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1.提升金融服务实体经济的针对性和实效性，助力全市经济高质量发展。2.巩固金融风险防范化解成果，推动金融生态环境有效改善。3.丰富和完善金融组织业态，建立多层次、广覆盖的融资服务体系，提升金融市场配置资源效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在市委、市政府的坚强领导下，市金融工作局党组坚持以习近平新时代中国特色社会主义思想为指导，深入贯彻中央、省市重大决策部署和重要会议精神，紧扣市委“一三三三”总体发展战略，全面履行服务实体经济、防控金融风险、深化金融改革三项职能，持续推动地方金融稳健运行，全市金融发展态势整体向好。2021年，全市人民币存款余额1,174亿元，增长5.45%；人民币贷款余额764亿元，增长8.29%；保费收入33亿元，增长10.97%。</w:t>
            </w:r>
          </w:p>
        </w:tc>
      </w:tr>
      <w:tr>
        <w:trPr>
          <w:trHeight w:val="1042"/>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预期指标值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实际完成指标值</w:t>
            </w:r>
            <w:r>
              <w:rPr>
                <w:rFonts w:ascii="宋体" w:cs="宋体"/>
                <w:color w:val="auto"/>
                <w:kern w:val="0"/>
                <w:sz w:val="24"/>
              </w:rPr>
              <w:t>(</w:t>
            </w:r>
            <w:r>
              <w:rPr>
                <w:rFonts w:ascii="宋体" w:cs="宋体" w:hint="eastAsia"/>
                <w:color w:val="auto"/>
                <w:kern w:val="0"/>
                <w:sz w:val="24"/>
              </w:rPr>
              <w:t>包含数字及文字描述</w:t>
            </w:r>
            <w:r>
              <w:rPr>
                <w:rFonts w:ascii="宋体" w:cs="宋体"/>
                <w:color w:val="auto"/>
                <w:kern w:val="0"/>
                <w:sz w:val="24"/>
              </w:rPr>
              <w:t>)</w:t>
            </w:r>
          </w:p>
        </w:tc>
      </w:tr>
      <w:tr>
        <w:trPr>
          <w:trHeight w:val="953"/>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人民币存贷款余额显著增长，保费收入稳步增长；全市金融风险总体可控，金融业发展趋势向好、运行稳健。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在市委、市政府的坚强领导下，市金融工作局党组坚持以习近平新时代中国特色社会主义思想为指导，深入贯彻中央、省市重大决策部署和重要会议精神，紧扣市委“一三三三”总体发展战略，全面履行服务实体经济、防控金融风险、深化金融改革三项职能，持续推动地方金融稳健运行，全市金融发展态势整体向好。全市人民币存款余额1,174亿元，增长5.45%；人民币贷款余额764亿元，增长8.29%；保费收入33亿元，增长10.97%。</w:t>
            </w:r>
          </w:p>
        </w:tc>
      </w:tr>
      <w:tr>
        <w:trPr>
          <w:trHeight w:val="1297"/>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截止202</w:t>
            </w:r>
            <w:r>
              <w:rPr>
                <w:rFonts w:ascii="宋体" w:cs="宋体" w:hint="eastAsia"/>
                <w:color w:val="auto"/>
                <w:sz w:val="24"/>
                <w:lang w:val="en-US" w:eastAsia="zh-CN"/>
              </w:rPr>
              <w:t>1</w:t>
            </w:r>
            <w:r>
              <w:rPr>
                <w:rFonts w:ascii="宋体" w:cs="宋体" w:hint="eastAsia"/>
                <w:color w:val="auto"/>
                <w:sz w:val="24"/>
              </w:rPr>
              <w:t>年底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按序时进度完成目标任务</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人员经费：206.535万元。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日常公用经费：31.356万元。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kern w:val="0"/>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color w:val="auto"/>
                <w:sz w:val="24"/>
                <w:lang w:val="en-US" w:eastAsia="zh-CN"/>
              </w:rPr>
            </w:pPr>
            <w:r>
              <w:rPr>
                <w:rFonts w:ascii="宋体" w:cs="宋体" w:hint="eastAsia"/>
                <w:color w:val="auto"/>
                <w:sz w:val="24"/>
                <w:lang w:val="en-US" w:eastAsia="zh-CN"/>
              </w:rPr>
              <w:t>指标3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按实际发生组织实施</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项目经费：56.89万元。</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全市人民币存贷款余额、保费收入指标实现增长</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全市人民币存款余额1,174亿元，增长5.45%；人民币贷款余额764亿元，增长8.29%；保费收入33亿元，增长10.97%。</w:t>
            </w:r>
          </w:p>
        </w:tc>
      </w:tr>
      <w:tr>
        <w:trPr>
          <w:trHeight w:val="1042"/>
        </w:trPr>
        <w:tc>
          <w:tcPr>
            <w:tcW w:w="390" w:type="dxa"/>
            <w:vMerge/>
            <w:tcBorders>
              <w:left w:val="single" w:sz="4" w:space="0" w:color="000000"/>
              <w:right w:val="single" w:sz="4" w:space="0" w:color="000000"/>
            </w:tcBorders>
            <w:noWrap/>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指标1</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不断提升融资对接实效</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r>
              <w:rPr>
                <w:rFonts w:ascii="宋体" w:cs="宋体" w:hint="eastAsia"/>
                <w:color w:val="auto"/>
                <w:sz w:val="24"/>
              </w:rPr>
              <w:t>组织召开2021年度全市金融工作暨政银企对接会议，推介重点项目43个，其中银江电站、沿江高速攀宁段等14个重大项目获得银行授信216.33亿元，融资余额80.78亿元。</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Ansi="Times New Roman" w:hint="eastAsia"/>
                <w:color w:val="auto"/>
                <w:kern w:val="2"/>
                <w:sz w:val="24"/>
                <w:szCs w:val="24"/>
                <w:lang w:val="en-US" w:eastAsia="zh-CN" w:bidi="ar-SA"/>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Ansi="Times New Roman" w:hint="eastAsia"/>
                <w:color w:val="auto"/>
                <w:kern w:val="2"/>
                <w:sz w:val="24"/>
                <w:szCs w:val="24"/>
                <w:lang w:val="en-US" w:eastAsia="zh-CN" w:bidi="ar-SA"/>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 xml:space="preserve"> 指标2：</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助力企业对接资本市场</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全市2家企业纳入省级后备企业库，秉扬科技成功登陆北交所，成为北交所首批上市企业。</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Ansi="Times New Roman" w:hint="eastAsia"/>
                <w:color w:val="auto"/>
                <w:kern w:val="2"/>
                <w:sz w:val="24"/>
                <w:szCs w:val="24"/>
                <w:lang w:val="en-US" w:eastAsia="zh-CN" w:bidi="ar-SA"/>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Ansi="Times New Roman" w:hint="eastAsia"/>
                <w:color w:val="auto"/>
                <w:kern w:val="2"/>
                <w:sz w:val="24"/>
                <w:szCs w:val="24"/>
                <w:lang w:val="en-US" w:eastAsia="zh-CN" w:bidi="ar-SA"/>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 xml:space="preserve"> 指标3：</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做好金融风险防范。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全年累计处置不良贷款18.76亿元，全市银行机构不良贷款率2.46%，低于5%的风险警戒线；加快处置16件非法集资存量案件，完善常态化防范宣传工作机制，全年新增1例非法集资案件，案件发生率同比下降91%。</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Ansi="Times New Roman" w:hint="eastAsia"/>
                <w:color w:val="auto"/>
                <w:kern w:val="2"/>
                <w:sz w:val="24"/>
                <w:szCs w:val="24"/>
                <w:lang w:val="en-US" w:eastAsia="zh-CN" w:bidi="ar-SA"/>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Ansi="Times New Roman" w:hint="eastAsia"/>
                <w:color w:val="auto"/>
                <w:kern w:val="2"/>
                <w:sz w:val="24"/>
                <w:szCs w:val="24"/>
                <w:lang w:val="en-US" w:eastAsia="zh-CN" w:bidi="ar-SA"/>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指标4</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规范地方金融行业经营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按照省局要求做好典当行年审工作，对6家典当行进行了现场合规经营检查，并督促其做好年审检查发现问题整改；指导3家“僵尸企业”退出典当行业。</w:t>
            </w:r>
          </w:p>
        </w:tc>
      </w:tr>
      <w:tr>
        <w:trPr>
          <w:trHeight w:val="1042"/>
        </w:trPr>
        <w:tc>
          <w:tcPr>
            <w:tcW w:w="390" w:type="dxa"/>
            <w:tcBorders>
              <w:left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color w:val="auto"/>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Ansi="Times New Roman" w:hint="eastAsia"/>
                <w:color w:val="auto"/>
                <w:kern w:val="2"/>
                <w:sz w:val="24"/>
                <w:szCs w:val="24"/>
                <w:lang w:val="en-US" w:eastAsia="zh-CN" w:bidi="ar-SA"/>
              </w:rPr>
            </w:pPr>
            <w:r>
              <w:rPr>
                <w:rFonts w:ascii="宋体" w:cs="宋体" w:hint="eastAsia"/>
                <w:color w:val="auto"/>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eastAsia="宋体" w:cs="宋体" w:hAnsi="Times New Roman" w:hint="eastAsia"/>
                <w:color w:val="auto"/>
                <w:kern w:val="2"/>
                <w:sz w:val="24"/>
                <w:szCs w:val="24"/>
                <w:lang w:val="en-US" w:eastAsia="zh-CN" w:bidi="ar-SA"/>
              </w:rPr>
            </w:pPr>
            <w:r>
              <w:rPr>
                <w:rFonts w:ascii="宋体" w:cs="宋体" w:hint="eastAsia"/>
                <w:color w:val="auto"/>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keepNext w:val="0"/>
              <w:keepLines w:val="0"/>
              <w:widowControl/>
              <w:suppressLineNumbers w:val="0"/>
              <w:adjustRightInd w:val="0"/>
              <w:snapToGrid w:val="0"/>
              <w:spacing w:line="353" w:lineRule="auto"/>
              <w:jc w:val="left"/>
              <w:textAlignment w:val="center"/>
              <w:rPr>
                <w:rFonts w:ascii="宋体" w:eastAsia="宋体" w:cs="宋体" w:hint="eastAsia"/>
                <w:i w:val="0"/>
                <w:iCs w:val="0"/>
                <w:color w:val="000000"/>
                <w:kern w:val="2"/>
                <w:sz w:val="24"/>
                <w:szCs w:val="24"/>
                <w:u w:val="none"/>
                <w:lang w:val="en-US" w:eastAsia="zh-CN" w:bidi="ar-SA"/>
              </w:rPr>
            </w:pPr>
            <w:r>
              <w:rPr>
                <w:rFonts w:ascii="宋体" w:eastAsia="宋体" w:cs="宋体" w:hint="eastAsia"/>
                <w:i w:val="0"/>
                <w:iCs w:val="0"/>
                <w:color w:val="000000"/>
                <w:kern w:val="0"/>
                <w:sz w:val="24"/>
                <w:szCs w:val="24"/>
                <w:u w:val="none"/>
                <w:lang w:val="en-US" w:eastAsia="zh-CN"/>
              </w:rPr>
              <w:t xml:space="preserve"> 指标5：</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持续深化金融改革</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adjustRightInd w:val="0"/>
              <w:snapToGrid w:val="0"/>
              <w:spacing w:line="353" w:lineRule="auto"/>
              <w:jc w:val="center"/>
              <w:textAlignment w:val="center"/>
              <w:rPr>
                <w:rFonts w:ascii="宋体" w:cs="宋体" w:hint="eastAsia"/>
                <w:color w:val="auto"/>
                <w:sz w:val="24"/>
              </w:rPr>
            </w:pPr>
            <w:r>
              <w:rPr>
                <w:rFonts w:ascii="宋体" w:cs="宋体" w:hint="eastAsia"/>
                <w:color w:val="auto"/>
                <w:sz w:val="24"/>
              </w:rPr>
              <w:t>编制《攀枝花市金融业“十四五”发展规划》，全面部署金融工作；修订完善《攀枝花市金融机构支持地方经济发展考核办法》，引导银行机构加大对重点领域、重点产业的贷款投放力度；积极探索应收账款质押融资新模式，累计为攀钢上下游企业提供融资支持60.72亿元。</w:t>
            </w:r>
          </w:p>
        </w:tc>
      </w:tr>
    </w:tbl>
    <w:p>
      <w:pPr>
        <w:adjustRightInd w:val="0"/>
        <w:snapToGrid w:val="0"/>
        <w:spacing w:line="353" w:lineRule="auto"/>
        <w:jc w:val="left"/>
        <w:rPr>
          <w:rFonts w:ascii="黑体" w:eastAsia="黑体" w:cs="仿宋_GB2312"/>
          <w:color w:val="auto"/>
          <w:sz w:val="32"/>
          <w:szCs w:val="32"/>
        </w:rPr>
      </w:pPr>
      <w:r>
        <w:rPr>
          <w:rFonts w:ascii="黑体" w:eastAsia="黑体" w:cs="仿宋_GB2312" w:hint="eastAsia"/>
          <w:color w:val="auto"/>
          <w:sz w:val="32"/>
          <w:szCs w:val="32"/>
        </w:rPr>
        <w:br w:type="page"/>
      </w:r>
    </w:p>
    <w:p>
      <w:pPr>
        <w:adjustRightInd w:val="0"/>
        <w:snapToGrid w:val="0"/>
        <w:spacing w:line="353" w:lineRule="auto"/>
        <w:jc w:val="left"/>
        <w:rPr>
          <w:rFonts w:ascii="黑体" w:eastAsia="黑体" w:cs="仿宋_GB2312"/>
          <w:color w:val="auto"/>
          <w:sz w:val="32"/>
          <w:szCs w:val="32"/>
        </w:rPr>
      </w:pPr>
      <w:r>
        <w:rPr>
          <w:rFonts w:ascii="黑体" w:eastAsia="黑体" w:cs="仿宋_GB2312" w:hint="eastAsia"/>
          <w:color w:val="auto"/>
          <w:sz w:val="32"/>
          <w:szCs w:val="32"/>
        </w:rPr>
        <w:t>附件2</w:t>
      </w:r>
    </w:p>
    <w:p>
      <w:pPr>
        <w:pStyle w:val="17"/>
        <w:adjustRightInd w:val="0"/>
        <w:snapToGrid w:val="0"/>
        <w:spacing w:line="353" w:lineRule="auto"/>
        <w:jc w:val="center"/>
        <w:rPr>
          <w:rFonts w:ascii="方正小标宋_GBK" w:eastAsia="方正小标宋_GBK" w:cs="黑体"/>
          <w:color w:val="auto"/>
          <w:sz w:val="36"/>
          <w:szCs w:val="36"/>
        </w:rPr>
      </w:pPr>
      <w:r>
        <w:rPr>
          <w:rFonts w:ascii="方正小标宋_GBK" w:eastAsia="方正小标宋_GBK" w:cs="黑体" w:hint="eastAsia"/>
          <w:color w:val="auto"/>
          <w:sz w:val="36"/>
          <w:szCs w:val="36"/>
        </w:rPr>
        <w:t>攀枝花市金融工作局</w:t>
      </w:r>
    </w:p>
    <w:p>
      <w:pPr>
        <w:pStyle w:val="17"/>
        <w:adjustRightInd w:val="0"/>
        <w:snapToGrid w:val="0"/>
        <w:spacing w:line="353" w:lineRule="auto"/>
        <w:jc w:val="center"/>
        <w:rPr>
          <w:rFonts w:ascii="方正小标宋_GBK" w:eastAsia="方正小标宋_GBK" w:cs="黑体"/>
          <w:color w:val="auto"/>
          <w:sz w:val="36"/>
          <w:szCs w:val="36"/>
        </w:rPr>
      </w:pPr>
      <w:r>
        <w:rPr>
          <w:rFonts w:ascii="方正小标宋_GBK" w:eastAsia="方正小标宋_GBK" w:cs="黑体" w:hint="eastAsia"/>
          <w:color w:val="auto"/>
          <w:sz w:val="36"/>
          <w:szCs w:val="36"/>
        </w:rPr>
        <w:t>202</w:t>
      </w:r>
      <w:r>
        <w:rPr>
          <w:rFonts w:ascii="方正小标宋_GBK" w:eastAsia="方正小标宋_GBK" w:cs="黑体" w:hint="eastAsia"/>
          <w:color w:val="auto"/>
          <w:sz w:val="36"/>
          <w:szCs w:val="36"/>
          <w:lang w:val="en-US" w:eastAsia="zh-CN"/>
        </w:rPr>
        <w:t>1</w:t>
      </w:r>
      <w:r>
        <w:rPr>
          <w:rFonts w:ascii="方正小标宋_GBK" w:eastAsia="方正小标宋_GBK" w:cs="黑体" w:hint="eastAsia"/>
          <w:color w:val="auto"/>
          <w:sz w:val="36"/>
          <w:szCs w:val="36"/>
        </w:rPr>
        <w:t>年度部门预算项目支出绩效自评报告</w:t>
      </w:r>
    </w:p>
    <w:p>
      <w:pPr>
        <w:pStyle w:val="17"/>
        <w:adjustRightInd w:val="0"/>
        <w:snapToGrid w:val="0"/>
        <w:spacing w:line="353" w:lineRule="auto"/>
        <w:ind w:firstLineChars="200" w:firstLine="720"/>
        <w:jc w:val="center"/>
        <w:rPr>
          <w:rFonts w:ascii="方正小标宋_GBK" w:eastAsia="方正小标宋_GBK" w:cs="黑体"/>
          <w:color w:val="auto"/>
          <w:sz w:val="36"/>
          <w:szCs w:val="36"/>
        </w:rPr>
      </w:pPr>
    </w:p>
    <w:p>
      <w:pPr>
        <w:pStyle w:val="17"/>
        <w:adjustRightInd w:val="0"/>
        <w:snapToGrid w:val="0"/>
        <w:spacing w:line="353" w:lineRule="auto"/>
        <w:ind w:firstLineChars="200" w:firstLine="640"/>
        <w:jc w:val="left"/>
        <w:rPr>
          <w:rFonts w:ascii="黑体" w:eastAsia="黑体" w:cs="黑体" w:hint="eastAsia"/>
          <w:color w:val="auto"/>
          <w:sz w:val="32"/>
          <w:szCs w:val="32"/>
        </w:rPr>
      </w:pPr>
      <w:r>
        <w:rPr>
          <w:rFonts w:ascii="Times New Roman" w:eastAsia="黑体" w:hAnsi="Times New Roman" w:hint="eastAsia"/>
          <w:color w:val="auto"/>
          <w:kern w:val="0"/>
          <w:sz w:val="32"/>
          <w:szCs w:val="32"/>
        </w:rPr>
        <w:t>一、</w:t>
      </w:r>
      <w:r>
        <w:rPr>
          <w:rFonts w:ascii="黑体" w:eastAsia="黑体" w:cs="黑体" w:hint="eastAsia"/>
          <w:sz w:val="32"/>
          <w:szCs w:val="32"/>
          <w:lang w:val="en-US" w:eastAsia="zh-CN" w:bidi="ar-SA"/>
        </w:rPr>
        <w:t>防范和化解金融风险专项</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utoSpaceDE w:val="0"/>
        <w:autoSpaceDN w:val="0"/>
        <w:adjustRightInd w:val="0"/>
        <w:snapToGrid w:val="0"/>
        <w:spacing w:line="353" w:lineRule="auto"/>
        <w:ind w:firstLineChars="200" w:firstLine="640"/>
        <w:rPr>
          <w:rFonts w:eastAsia="仿宋_GB2312" w:hint="eastAsia"/>
          <w:sz w:val="32"/>
          <w:szCs w:val="32"/>
          <w:shd w:val="clear" w:color="auto" w:fill="FFFFFF"/>
        </w:rPr>
      </w:pPr>
      <w:r>
        <w:rPr>
          <w:rFonts w:eastAsia="仿宋_GB2312" w:hint="eastAsia"/>
          <w:sz w:val="32"/>
          <w:szCs w:val="32"/>
          <w:shd w:val="clear" w:color="auto" w:fill="FFFFFF"/>
        </w:rPr>
        <w:t>市金融工作局负责牵头会同有关部门防范、化解和处置地方金融风险；开展</w:t>
      </w:r>
      <w:r>
        <w:rPr>
          <w:rFonts w:eastAsia="仿宋_GB2312"/>
          <w:sz w:val="32"/>
          <w:szCs w:val="32"/>
          <w:shd w:val="clear" w:color="auto" w:fill="FFFFFF"/>
        </w:rPr>
        <w:t>打击和</w:t>
      </w:r>
      <w:r>
        <w:rPr>
          <w:rFonts w:eastAsia="仿宋_GB2312" w:hint="eastAsia"/>
          <w:sz w:val="32"/>
          <w:szCs w:val="32"/>
          <w:shd w:val="clear" w:color="auto" w:fill="FFFFFF"/>
        </w:rPr>
        <w:t>处置非法集资工作，协调配合有关部门打击其他非法金融活动</w:t>
      </w:r>
      <w:r>
        <w:rPr>
          <w:rFonts w:eastAsia="仿宋_GB2312"/>
          <w:sz w:val="32"/>
          <w:szCs w:val="32"/>
          <w:shd w:val="clear" w:color="auto" w:fill="FFFFFF"/>
        </w:rPr>
        <w:t>；</w:t>
      </w:r>
      <w:r>
        <w:rPr>
          <w:rFonts w:eastAsia="仿宋_GB2312" w:hint="eastAsia"/>
          <w:sz w:val="32"/>
          <w:szCs w:val="32"/>
          <w:shd w:val="clear" w:color="auto" w:fill="FFFFFF"/>
        </w:rPr>
        <w:t>推动全市地方金融风险监测预防和应急处置机制建设，坚决守住不发生系统性金融风险底线，提高金融体系抵御风险能力</w:t>
      </w:r>
      <w:r>
        <w:rPr>
          <w:rFonts w:eastAsia="仿宋_GB2312"/>
          <w:sz w:val="32"/>
          <w:szCs w:val="32"/>
          <w:shd w:val="clear" w:color="auto" w:fill="FFFFFF"/>
        </w:rPr>
        <w:t>，</w:t>
      </w:r>
      <w:r>
        <w:rPr>
          <w:rFonts w:eastAsia="仿宋_GB2312" w:hint="eastAsia"/>
          <w:sz w:val="32"/>
          <w:szCs w:val="32"/>
          <w:shd w:val="clear" w:color="auto" w:fill="FFFFFF"/>
        </w:rPr>
        <w:t>确保地方金融安全高效稳健运行。</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2.项目绩效目标。</w:t>
      </w:r>
    </w:p>
    <w:p>
      <w:pPr>
        <w:adjustRightInd w:val="0"/>
        <w:snapToGrid w:val="0"/>
        <w:spacing w:line="353" w:lineRule="auto"/>
        <w:ind w:firstLine="645"/>
        <w:rPr>
          <w:rFonts w:ascii="Times New Roman" w:eastAsia="仿宋_GB2312" w:hAnsi="Times New Roman" w:hint="eastAsia"/>
          <w:sz w:val="32"/>
          <w:szCs w:val="32"/>
          <w:shd w:val="clear" w:color="auto" w:fill="FFFFFF"/>
        </w:rPr>
      </w:pPr>
      <w:r>
        <w:rPr>
          <w:rFonts w:ascii="Times New Roman" w:eastAsia="仿宋_GB2312" w:hAnsi="Times New Roman"/>
          <w:sz w:val="32"/>
          <w:szCs w:val="32"/>
          <w:shd w:val="clear" w:color="auto" w:fill="FFFFFF"/>
        </w:rPr>
        <w:t>赴省地方金融监管局汇报金融风险防控工作开展情况；参加全省防范和化解金融风险相关会议、培训；积极配合省专项调查组莅攀调研工作；组织召开全市防范和化解金融风险相关工作协调会，协调处理原攀商行及市农商行风险。</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rPr>
          <w:rFonts w:eastAsia="仿宋_GB2312" w:hint="eastAsia"/>
          <w:sz w:val="32"/>
          <w:szCs w:val="32"/>
          <w:shd w:val="clear" w:color="auto" w:fill="FFFFFF"/>
        </w:rPr>
      </w:pPr>
      <w:r>
        <w:rPr>
          <w:rFonts w:eastAsia="仿宋_GB2312" w:hint="eastAsia"/>
          <w:sz w:val="32"/>
          <w:szCs w:val="32"/>
          <w:shd w:val="clear" w:color="auto" w:fill="FFFFFF"/>
          <w:lang w:val="en-US" w:eastAsia="zh-CN"/>
        </w:rPr>
        <w:t>2021年10月追加15</w:t>
      </w:r>
      <w:r>
        <w:rPr>
          <w:rFonts w:eastAsia="仿宋_GB2312" w:hint="eastAsia"/>
          <w:sz w:val="32"/>
          <w:szCs w:val="32"/>
          <w:shd w:val="clear" w:color="auto" w:fill="FFFFFF"/>
        </w:rPr>
        <w:t>万元</w:t>
      </w:r>
      <w:r>
        <w:rPr>
          <w:rFonts w:eastAsia="仿宋_GB2312"/>
          <w:sz w:val="32"/>
          <w:szCs w:val="32"/>
          <w:shd w:val="clear" w:color="auto" w:fill="FFFFFF"/>
        </w:rPr>
        <w:t>，2021年12月追减0.01万元</w:t>
      </w:r>
      <w:r>
        <w:rPr>
          <w:rFonts w:eastAsia="仿宋_GB2312" w:hint="eastAsia"/>
          <w:sz w:val="32"/>
          <w:szCs w:val="32"/>
          <w:shd w:val="clear" w:color="auto" w:fill="FFFFFF"/>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（1）</w:t>
      </w:r>
      <w:r>
        <w:rPr>
          <w:rFonts w:eastAsia="楷体_GB2312"/>
          <w:b/>
          <w:bCs/>
          <w:color w:val="auto"/>
          <w:kern w:val="0"/>
          <w:sz w:val="32"/>
          <w:szCs w:val="32"/>
        </w:rPr>
        <w:t>资金计划。</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lang w:val="en-US" w:eastAsia="zh-CN"/>
        </w:rPr>
        <w:t>资料印刷、宣传费3.55万元，场地租赁费2万元，</w:t>
      </w:r>
      <w:r>
        <w:rPr>
          <w:rFonts w:ascii="Times New Roman" w:eastAsia="仿宋_GB2312" w:hAnsi="Times New Roman" w:hint="eastAsia"/>
          <w:kern w:val="0"/>
          <w:sz w:val="32"/>
          <w:szCs w:val="32"/>
        </w:rPr>
        <w:t>差旅费</w:t>
      </w:r>
      <w:r>
        <w:rPr>
          <w:rFonts w:ascii="Times New Roman" w:eastAsia="仿宋_GB2312" w:hAnsi="Times New Roman" w:hint="eastAsia"/>
          <w:kern w:val="0"/>
          <w:sz w:val="32"/>
          <w:szCs w:val="32"/>
          <w:lang w:val="en-US" w:eastAsia="zh-CN"/>
        </w:rPr>
        <w:t>7.45</w:t>
      </w:r>
      <w:r>
        <w:rPr>
          <w:rFonts w:ascii="Times New Roman" w:eastAsia="仿宋_GB2312" w:hAnsi="Times New Roman" w:hint="eastAsia"/>
          <w:kern w:val="0"/>
          <w:sz w:val="32"/>
          <w:szCs w:val="32"/>
        </w:rPr>
        <w:t>万元</w:t>
      </w:r>
      <w:r>
        <w:rPr>
          <w:rFonts w:ascii="Times New Roman" w:eastAsia="仿宋_GB2312" w:hAnsi="Times New Roman"/>
          <w:kern w:val="0"/>
          <w:sz w:val="32"/>
          <w:szCs w:val="32"/>
        </w:rPr>
        <w:t>，</w:t>
      </w:r>
      <w:r>
        <w:rPr>
          <w:rFonts w:ascii="Times New Roman" w:eastAsia="仿宋_GB2312" w:hAnsi="Times New Roman" w:hint="eastAsia"/>
          <w:kern w:val="0"/>
          <w:sz w:val="32"/>
          <w:szCs w:val="32"/>
        </w:rPr>
        <w:t>会议费</w:t>
      </w:r>
      <w:r>
        <w:rPr>
          <w:rFonts w:ascii="Times New Roman" w:eastAsia="仿宋_GB2312" w:hAnsi="Times New Roman" w:hint="eastAsia"/>
          <w:kern w:val="0"/>
          <w:sz w:val="32"/>
          <w:szCs w:val="32"/>
          <w:lang w:val="en-US" w:eastAsia="zh-CN"/>
        </w:rPr>
        <w:t>2</w:t>
      </w:r>
      <w:r>
        <w:rPr>
          <w:rFonts w:ascii="Times New Roman" w:eastAsia="仿宋_GB2312" w:hAnsi="Times New Roman" w:hint="eastAsia"/>
          <w:kern w:val="0"/>
          <w:sz w:val="32"/>
          <w:szCs w:val="32"/>
        </w:rPr>
        <w:t>万元。</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（2）</w:t>
      </w:r>
      <w:r>
        <w:rPr>
          <w:rFonts w:eastAsia="楷体_GB2312"/>
          <w:b/>
          <w:bCs/>
          <w:color w:val="auto"/>
          <w:kern w:val="0"/>
          <w:sz w:val="32"/>
          <w:szCs w:val="32"/>
        </w:rPr>
        <w:t>资金到位。</w:t>
      </w:r>
    </w:p>
    <w:p>
      <w:pPr>
        <w:autoSpaceDE w:val="0"/>
        <w:autoSpaceDN w:val="0"/>
        <w:adjustRightInd w:val="0"/>
        <w:snapToGrid w:val="0"/>
        <w:spacing w:line="353" w:lineRule="auto"/>
        <w:ind w:firstLineChars="200" w:firstLine="640"/>
        <w:rPr>
          <w:rFonts w:eastAsia="楷体_GB2312"/>
          <w:kern w:val="0"/>
          <w:sz w:val="32"/>
          <w:szCs w:val="32"/>
        </w:rPr>
      </w:pPr>
      <w:r>
        <w:rPr>
          <w:rFonts w:ascii="Times New Roman" w:eastAsia="仿宋_GB2312" w:hAnsi="Times New Roman" w:hint="eastAsia"/>
          <w:kern w:val="0"/>
          <w:sz w:val="32"/>
          <w:szCs w:val="32"/>
        </w:rPr>
        <w:t>202</w:t>
      </w:r>
      <w:r>
        <w:rPr>
          <w:rFonts w:ascii="Times New Roman" w:eastAsia="仿宋_GB2312" w:hAnsi="Times New Roman" w:hint="eastAsia"/>
          <w:kern w:val="0"/>
          <w:sz w:val="32"/>
          <w:szCs w:val="32"/>
          <w:lang w:val="en-US" w:eastAsia="zh-CN"/>
        </w:rPr>
        <w:t>1</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lang w:val="en-US" w:eastAsia="zh-CN"/>
        </w:rPr>
        <w:t>10</w:t>
      </w:r>
      <w:r>
        <w:rPr>
          <w:rFonts w:ascii="Times New Roman" w:eastAsia="仿宋_GB2312" w:hAnsi="Times New Roman" w:hint="eastAsia"/>
          <w:kern w:val="0"/>
          <w:sz w:val="32"/>
          <w:szCs w:val="32"/>
        </w:rPr>
        <w:t>月预算</w:t>
      </w:r>
      <w:r>
        <w:rPr>
          <w:rFonts w:ascii="Times New Roman" w:eastAsia="仿宋_GB2312" w:hAnsi="Times New Roman" w:hint="eastAsia"/>
          <w:kern w:val="0"/>
          <w:sz w:val="32"/>
          <w:szCs w:val="32"/>
          <w:lang w:val="en-US" w:eastAsia="zh-CN"/>
        </w:rPr>
        <w:t>追加</w:t>
      </w:r>
      <w:r>
        <w:rPr>
          <w:rFonts w:ascii="Times New Roman" w:eastAsia="仿宋_GB2312" w:hAnsi="Times New Roman" w:hint="eastAsia"/>
          <w:kern w:val="0"/>
          <w:sz w:val="32"/>
          <w:szCs w:val="32"/>
        </w:rPr>
        <w:t>到位。</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（3）</w:t>
      </w:r>
      <w:r>
        <w:rPr>
          <w:rFonts w:eastAsia="楷体_GB2312"/>
          <w:b/>
          <w:bCs/>
          <w:color w:val="auto"/>
          <w:kern w:val="0"/>
          <w:sz w:val="32"/>
          <w:szCs w:val="32"/>
        </w:rPr>
        <w:t>资金使用。</w:t>
      </w:r>
    </w:p>
    <w:p>
      <w:pPr>
        <w:autoSpaceDE w:val="0"/>
        <w:autoSpaceDN w:val="0"/>
        <w:adjustRightInd w:val="0"/>
        <w:snapToGrid w:val="0"/>
        <w:spacing w:line="353" w:lineRule="auto"/>
        <w:ind w:firstLineChars="200" w:firstLine="640"/>
        <w:jc w:val="left"/>
        <w:rPr>
          <w:rFonts w:eastAsia="仿宋_GB2312" w:cs="宋体" w:hint="eastAsia"/>
          <w:kern w:val="0"/>
          <w:sz w:val="32"/>
          <w:szCs w:val="32"/>
          <w:lang w:val="en-US" w:eastAsia="zh-CN" w:bidi="ar-SA"/>
        </w:rPr>
      </w:pPr>
      <w:r>
        <w:rPr>
          <w:rFonts w:eastAsia="仿宋_GB2312" w:cs="宋体" w:hint="eastAsia"/>
          <w:kern w:val="0"/>
          <w:sz w:val="32"/>
          <w:szCs w:val="32"/>
          <w:lang w:bidi="ar-SA"/>
        </w:rPr>
        <w:t>差旅费</w:t>
      </w:r>
      <w:r>
        <w:rPr>
          <w:rFonts w:eastAsia="仿宋_GB2312" w:cs="宋体"/>
          <w:kern w:val="0"/>
          <w:sz w:val="32"/>
          <w:szCs w:val="32"/>
          <w:lang w:bidi="ar-SA"/>
        </w:rPr>
        <w:t>、</w:t>
      </w:r>
      <w:r>
        <w:rPr>
          <w:rFonts w:eastAsia="仿宋_GB2312" w:cs="宋体" w:hint="eastAsia"/>
          <w:kern w:val="0"/>
          <w:sz w:val="32"/>
          <w:szCs w:val="32"/>
          <w:lang w:eastAsia="zh-CN" w:bidi="ar-SA"/>
        </w:rPr>
        <w:t>会议费</w:t>
      </w:r>
      <w:r>
        <w:rPr>
          <w:rFonts w:eastAsia="仿宋_GB2312" w:cs="宋体"/>
          <w:kern w:val="0"/>
          <w:sz w:val="32"/>
          <w:szCs w:val="32"/>
          <w:lang w:eastAsia="zh-CN" w:bidi="ar-SA"/>
        </w:rPr>
        <w:t>、</w:t>
      </w:r>
      <w:r>
        <w:rPr>
          <w:rFonts w:eastAsia="仿宋_GB2312" w:cs="宋体" w:hint="eastAsia"/>
          <w:kern w:val="0"/>
          <w:sz w:val="32"/>
          <w:szCs w:val="32"/>
          <w:lang w:eastAsia="zh-CN" w:bidi="ar-SA"/>
        </w:rPr>
        <w:t>租赁费</w:t>
      </w:r>
      <w:r>
        <w:rPr>
          <w:rFonts w:eastAsia="仿宋_GB2312" w:cs="宋体"/>
          <w:kern w:val="0"/>
          <w:sz w:val="32"/>
          <w:szCs w:val="32"/>
          <w:lang w:eastAsia="zh-CN" w:bidi="ar-SA"/>
        </w:rPr>
        <w:t>等费用</w:t>
      </w:r>
      <w:r>
        <w:rPr>
          <w:rFonts w:eastAsia="仿宋_GB2312" w:cs="宋体" w:hint="eastAsia"/>
          <w:kern w:val="0"/>
          <w:sz w:val="32"/>
          <w:szCs w:val="32"/>
          <w:lang w:val="en-US" w:eastAsia="zh-CN" w:bidi="ar-SA"/>
        </w:rPr>
        <w:t>合计</w:t>
      </w:r>
      <w:r>
        <w:rPr>
          <w:rFonts w:eastAsia="仿宋_GB2312" w:cs="宋体"/>
          <w:kern w:val="0"/>
          <w:sz w:val="32"/>
          <w:szCs w:val="32"/>
          <w:lang w:val="en-US" w:eastAsia="zh-CN" w:bidi="ar-SA"/>
        </w:rPr>
        <w:t>支出</w:t>
      </w:r>
      <w:r>
        <w:rPr>
          <w:rFonts w:eastAsia="仿宋_GB2312" w:cs="宋体" w:hint="eastAsia"/>
          <w:kern w:val="0"/>
          <w:sz w:val="32"/>
          <w:szCs w:val="32"/>
          <w:lang w:val="en-US" w:eastAsia="zh-CN" w:bidi="ar-SA"/>
        </w:rPr>
        <w:t>14.99万元。</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该</w:t>
      </w:r>
      <w:r>
        <w:rPr>
          <w:rFonts w:ascii="Times New Roman" w:eastAsia="仿宋_GB2312" w:hAnsi="Times New Roman"/>
          <w:kern w:val="0"/>
          <w:sz w:val="32"/>
          <w:szCs w:val="32"/>
        </w:rPr>
        <w:t>项目财务管理制度健全，严格执行财务管理制度，账务处理及时，会计核算规范。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（三）项目实施及管理情况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该</w:t>
      </w:r>
      <w:r>
        <w:rPr>
          <w:rFonts w:ascii="Times New Roman" w:eastAsia="仿宋_GB2312" w:hAnsi="Times New Roman"/>
          <w:kern w:val="0"/>
          <w:sz w:val="32"/>
          <w:szCs w:val="32"/>
        </w:rPr>
        <w:t>项目按时间进度完成各项任务</w:t>
      </w:r>
      <w:r>
        <w:rPr>
          <w:rFonts w:ascii="Times New Roman" w:eastAsia="仿宋_GB2312" w:hAnsi="Times New Roman" w:hint="eastAsia"/>
          <w:kern w:val="0"/>
          <w:sz w:val="32"/>
          <w:szCs w:val="32"/>
        </w:rPr>
        <w:t>，</w:t>
      </w:r>
      <w:r>
        <w:rPr>
          <w:rFonts w:ascii="Times New Roman" w:eastAsia="仿宋_GB2312" w:hAnsi="Times New Roman"/>
          <w:kern w:val="0"/>
          <w:sz w:val="32"/>
          <w:szCs w:val="32"/>
        </w:rPr>
        <w:t>按实际发生的金额支付</w:t>
      </w:r>
      <w:r>
        <w:rPr>
          <w:rFonts w:ascii="Times New Roman" w:eastAsia="仿宋_GB2312" w:hAnsi="Times New Roman" w:hint="eastAsia"/>
          <w:kern w:val="0"/>
          <w:sz w:val="32"/>
          <w:szCs w:val="32"/>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（四）项目绩效情况。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widowControl/>
        <w:adjustRightInd w:val="0"/>
        <w:snapToGrid w:val="0"/>
        <w:spacing w:line="353" w:lineRule="auto"/>
        <w:ind w:firstLine="616"/>
        <w:textAlignment w:val="baseline"/>
        <w:rPr>
          <w:rFonts w:eastAsia="仿宋_GB2312" w:cs="宋体" w:hint="eastAsia"/>
          <w:kern w:val="0"/>
          <w:sz w:val="32"/>
          <w:szCs w:val="32"/>
          <w:lang w:bidi="ar-SA"/>
        </w:rPr>
      </w:pPr>
      <w:r>
        <w:rPr>
          <w:rFonts w:eastAsia="仿宋_GB2312" w:cs="宋体" w:hint="eastAsia"/>
          <w:kern w:val="0"/>
          <w:sz w:val="32"/>
          <w:szCs w:val="32"/>
          <w:lang w:bidi="ar-SA"/>
        </w:rPr>
        <w:t>一是</w:t>
      </w:r>
      <w:r>
        <w:rPr>
          <w:rFonts w:eastAsia="仿宋_GB2312" w:cs="宋体" w:hint="eastAsia"/>
          <w:kern w:val="0"/>
          <w:sz w:val="32"/>
          <w:szCs w:val="32"/>
          <w:lang w:val="en-US" w:bidi="ar-SA"/>
        </w:rPr>
        <w:t>防范化解银行机构风险</w:t>
      </w:r>
      <w:r>
        <w:rPr>
          <w:rFonts w:eastAsia="仿宋_GB2312" w:cs="宋体"/>
          <w:kern w:val="0"/>
          <w:sz w:val="32"/>
          <w:szCs w:val="32"/>
          <w:lang w:val="en-US" w:bidi="ar-SA"/>
        </w:rPr>
        <w:t>方面</w:t>
      </w:r>
      <w:r>
        <w:rPr>
          <w:rFonts w:eastAsia="仿宋_GB2312" w:cs="宋体" w:hint="eastAsia"/>
          <w:kern w:val="0"/>
          <w:sz w:val="32"/>
          <w:szCs w:val="32"/>
          <w:lang w:val="en-US" w:bidi="ar-SA"/>
        </w:rPr>
        <w:t>。</w:t>
      </w:r>
      <w:r>
        <w:rPr>
          <w:rFonts w:eastAsia="仿宋_GB2312" w:cs="宋体" w:hint="eastAsia"/>
          <w:kern w:val="0"/>
          <w:sz w:val="32"/>
          <w:szCs w:val="32"/>
          <w:lang w:val="en-US"/>
        </w:rPr>
        <w:t>全年累计处置不良贷款18.76亿元，银行机构不良贷款率降至2.46%，为历年最低，牢牢守住不发生系统性金融风险底线。二是</w:t>
      </w:r>
      <w:r>
        <w:rPr>
          <w:rFonts w:eastAsia="仿宋_GB2312" w:cs="宋体" w:hint="eastAsia"/>
          <w:kern w:val="0"/>
          <w:sz w:val="32"/>
          <w:szCs w:val="32"/>
          <w:lang w:val="en-US" w:bidi="ar-SA"/>
        </w:rPr>
        <w:t>加强地方金融组织监管</w:t>
      </w:r>
      <w:r>
        <w:rPr>
          <w:rFonts w:eastAsia="仿宋_GB2312" w:cs="宋体"/>
          <w:kern w:val="0"/>
          <w:sz w:val="32"/>
          <w:szCs w:val="32"/>
          <w:lang w:val="en-US" w:bidi="ar-SA"/>
        </w:rPr>
        <w:t>方面</w:t>
      </w:r>
      <w:r>
        <w:rPr>
          <w:rFonts w:eastAsia="仿宋_GB2312" w:cs="宋体" w:hint="eastAsia"/>
          <w:kern w:val="0"/>
          <w:sz w:val="32"/>
          <w:szCs w:val="32"/>
          <w:lang w:val="en-US" w:bidi="ar-SA"/>
        </w:rPr>
        <w:t>。</w:t>
      </w:r>
      <w:r>
        <w:rPr>
          <w:rFonts w:eastAsia="仿宋_GB2312" w:cs="宋体" w:hint="eastAsia"/>
          <w:kern w:val="0"/>
          <w:sz w:val="32"/>
          <w:szCs w:val="32"/>
          <w:lang w:val="en-US"/>
        </w:rPr>
        <w:t>督促金丰小贷问题整改，指导5家担保公司合规经营，推动3家“僵尸典当”退出行业。</w:t>
      </w:r>
      <w:r>
        <w:rPr>
          <w:rFonts w:eastAsia="仿宋_GB2312" w:cs="宋体" w:hint="eastAsia"/>
          <w:kern w:val="0"/>
          <w:sz w:val="32"/>
          <w:szCs w:val="32"/>
          <w:lang w:bidi="ar-SA"/>
        </w:rPr>
        <w:t>三是</w:t>
      </w:r>
      <w:r>
        <w:rPr>
          <w:rFonts w:eastAsia="仿宋_GB2312" w:cs="宋体" w:hint="eastAsia"/>
          <w:kern w:val="0"/>
          <w:sz w:val="32"/>
          <w:szCs w:val="32"/>
        </w:rPr>
        <w:t>防范和处置非法集资</w:t>
      </w:r>
      <w:r>
        <w:rPr>
          <w:rFonts w:eastAsia="仿宋_GB2312" w:cs="宋体"/>
          <w:kern w:val="0"/>
          <w:sz w:val="32"/>
          <w:szCs w:val="32"/>
        </w:rPr>
        <w:t>方面</w:t>
      </w:r>
      <w:r>
        <w:rPr>
          <w:rFonts w:eastAsia="仿宋_GB2312" w:cs="宋体" w:hint="eastAsia"/>
          <w:kern w:val="0"/>
          <w:sz w:val="32"/>
          <w:szCs w:val="32"/>
        </w:rPr>
        <w:t>。加快处置</w:t>
      </w:r>
      <w:r>
        <w:rPr>
          <w:rFonts w:eastAsia="仿宋_GB2312" w:cs="宋体" w:hint="eastAsia"/>
          <w:kern w:val="0"/>
          <w:sz w:val="32"/>
          <w:szCs w:val="32"/>
          <w:lang w:bidi="ar-SA"/>
        </w:rPr>
        <w:t>16件非法集资存量案件，</w:t>
      </w:r>
      <w:r>
        <w:rPr>
          <w:rFonts w:eastAsia="仿宋_GB2312" w:cs="宋体" w:hint="eastAsia"/>
          <w:kern w:val="0"/>
          <w:sz w:val="32"/>
          <w:szCs w:val="32"/>
          <w:lang w:val="en-US" w:bidi="ar-SA"/>
        </w:rPr>
        <w:t>完善常态化防范宣传工作机制，全年新增1例非法集资案件，案件发生率同比下降91%。</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2.项目效益情况。</w:t>
      </w:r>
    </w:p>
    <w:p>
      <w:pPr>
        <w:widowControl/>
        <w:adjustRightInd w:val="0"/>
        <w:snapToGrid w:val="0"/>
        <w:spacing w:line="353" w:lineRule="auto"/>
        <w:ind w:firstLine="616"/>
        <w:textAlignment w:val="baseline"/>
        <w:rPr>
          <w:rFonts w:ascii="Times New Roman" w:eastAsia="仿宋_GB2312" w:cs="Times New Roman" w:hAnsi="Times New Roman"/>
          <w:spacing w:val="0"/>
          <w:sz w:val="32"/>
          <w:szCs w:val="32"/>
          <w:lang w:bidi="ar-SA"/>
        </w:rPr>
      </w:pPr>
      <w:r>
        <w:rPr>
          <w:rFonts w:ascii="Times New Roman" w:eastAsia="仿宋_GB2312" w:cs="Times New Roman" w:hAnsi="Times New Roman"/>
          <w:spacing w:val="0"/>
          <w:sz w:val="32"/>
          <w:szCs w:val="32"/>
          <w:lang w:bidi="ar-SA"/>
        </w:rPr>
        <w:t>全市重大金融风险已基本出清，银行机构不良贷款率降至历年最低，服务实体经济能力增强，实现可持续发展；非法集资存案处置有序推进，新发案件明显下降，全市群众非法集资风险识别能力提升，未发生社会稳定风险；地方金融组织经营更加合规，地方金融生态得到优化。</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（五）评价结论及建议。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firstLineChars="200" w:firstLine="624"/>
        <w:rPr>
          <w:rFonts w:ascii="仿宋_GB2312" w:eastAsia="仿宋_GB2312" w:hint="eastAsia"/>
          <w:spacing w:val="-4"/>
          <w:sz w:val="32"/>
          <w:szCs w:val="32"/>
        </w:rPr>
      </w:pPr>
      <w:r>
        <w:rPr>
          <w:rFonts w:ascii="仿宋_GB2312" w:eastAsia="仿宋_GB2312" w:hint="eastAsia"/>
          <w:spacing w:val="-4"/>
          <w:sz w:val="32"/>
          <w:szCs w:val="32"/>
        </w:rPr>
        <w:t>该项目绩效目标制定科学合理，对风范化解金融风险工作开展具有较强的指导作用。在实际工作中，全局干部职工锚定目标，靶向发力，执行坚决，积极探索新思路、新方法，效果良好。</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2.存在的问题。</w:t>
      </w:r>
    </w:p>
    <w:p>
      <w:pPr>
        <w:autoSpaceDE w:val="0"/>
        <w:autoSpaceDN w:val="0"/>
        <w:adjustRightInd w:val="0"/>
        <w:snapToGrid w:val="0"/>
        <w:spacing w:line="353" w:lineRule="auto"/>
        <w:ind w:firstLineChars="200" w:firstLine="640"/>
        <w:jc w:val="left"/>
        <w:rPr>
          <w:rFonts w:eastAsia="仿宋_GB2312"/>
          <w:color w:val="auto"/>
          <w:kern w:val="0"/>
          <w:sz w:val="32"/>
          <w:szCs w:val="32"/>
        </w:rPr>
      </w:pPr>
      <w:r>
        <w:rPr>
          <w:rFonts w:eastAsia="仿宋_GB2312" w:hint="eastAsia"/>
          <w:color w:val="auto"/>
          <w:kern w:val="0"/>
          <w:sz w:val="32"/>
          <w:szCs w:val="32"/>
        </w:rPr>
        <w:t>无</w:t>
      </w:r>
      <w:r>
        <w:rPr>
          <w:rFonts w:eastAsia="仿宋_GB2312"/>
          <w:color w:val="auto"/>
          <w:kern w:val="0"/>
          <w:sz w:val="32"/>
          <w:szCs w:val="32"/>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3.相关建议。</w:t>
      </w:r>
    </w:p>
    <w:p>
      <w:pPr>
        <w:pStyle w:val="17"/>
        <w:adjustRightInd w:val="0"/>
        <w:snapToGrid w:val="0"/>
        <w:spacing w:line="353" w:lineRule="auto"/>
        <w:ind w:firstLineChars="200" w:firstLine="640"/>
        <w:jc w:val="left"/>
        <w:rPr>
          <w:rFonts w:eastAsia="仿宋_GB2312"/>
          <w:color w:val="auto"/>
          <w:kern w:val="0"/>
          <w:sz w:val="32"/>
          <w:szCs w:val="32"/>
        </w:rPr>
      </w:pPr>
      <w:r>
        <w:rPr>
          <w:rFonts w:eastAsia="仿宋_GB2312" w:hint="eastAsia"/>
          <w:color w:val="auto"/>
          <w:kern w:val="0"/>
          <w:sz w:val="32"/>
          <w:szCs w:val="32"/>
        </w:rPr>
        <w:t>无</w:t>
      </w:r>
      <w:r>
        <w:rPr>
          <w:rFonts w:eastAsia="仿宋_GB2312"/>
          <w:color w:val="auto"/>
          <w:kern w:val="0"/>
          <w:sz w:val="32"/>
          <w:szCs w:val="32"/>
        </w:rPr>
        <w:t>。</w:t>
      </w:r>
    </w:p>
    <w:p>
      <w:pPr>
        <w:pStyle w:val="17"/>
        <w:adjustRightInd w:val="0"/>
        <w:snapToGrid w:val="0"/>
        <w:spacing w:line="353" w:lineRule="auto"/>
        <w:ind w:firstLineChars="200" w:firstLine="640"/>
        <w:jc w:val="left"/>
        <w:rPr>
          <w:rFonts w:ascii="黑体" w:eastAsia="黑体" w:cs="黑体" w:hint="eastAsia"/>
          <w:sz w:val="32"/>
          <w:szCs w:val="32"/>
          <w:lang w:val="en-US" w:eastAsia="zh-CN" w:bidi="ar-SA"/>
        </w:rPr>
      </w:pPr>
      <w:r>
        <w:rPr>
          <w:rFonts w:ascii="黑体" w:eastAsia="黑体" w:cs="仿宋_GB2312" w:hint="eastAsia"/>
          <w:color w:val="auto"/>
          <w:sz w:val="32"/>
          <w:szCs w:val="32"/>
          <w:lang w:val="en-US" w:eastAsia="zh-CN"/>
        </w:rPr>
        <w:t>二</w:t>
      </w:r>
      <w:r>
        <w:rPr>
          <w:rFonts w:ascii="黑体" w:eastAsia="黑体" w:cs="仿宋_GB2312" w:hint="eastAsia"/>
          <w:color w:val="auto"/>
          <w:sz w:val="32"/>
          <w:szCs w:val="32"/>
        </w:rPr>
        <w:t>、</w:t>
      </w:r>
      <w:r>
        <w:rPr>
          <w:rFonts w:ascii="黑体" w:eastAsia="黑体" w:cs="黑体" w:hint="eastAsia"/>
          <w:sz w:val="32"/>
          <w:szCs w:val="32"/>
          <w:lang w:val="en-US" w:eastAsia="zh-CN" w:bidi="ar-SA"/>
        </w:rPr>
        <w:t>重点金融机构监管</w:t>
      </w:r>
    </w:p>
    <w:p>
      <w:pPr>
        <w:autoSpaceDE w:val="0"/>
        <w:autoSpaceDN w:val="0"/>
        <w:adjustRightInd w:val="0"/>
        <w:snapToGrid w:val="0"/>
        <w:spacing w:line="353" w:lineRule="auto"/>
        <w:ind w:firstLineChars="150" w:firstLine="48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djustRightInd w:val="0"/>
        <w:snapToGrid w:val="0"/>
        <w:spacing w:line="353" w:lineRule="auto"/>
        <w:ind w:firstLineChars="200" w:firstLine="640"/>
        <w:rPr>
          <w:rFonts w:eastAsia="仿宋_GB2312" w:cs="宋体"/>
          <w:kern w:val="0"/>
          <w:sz w:val="32"/>
          <w:szCs w:val="32"/>
          <w:lang w:bidi="ar-SA"/>
        </w:rPr>
      </w:pPr>
      <w:r>
        <w:rPr>
          <w:rFonts w:eastAsia="仿宋_GB2312" w:cs="宋体"/>
          <w:kern w:val="0"/>
          <w:sz w:val="32"/>
          <w:szCs w:val="32"/>
          <w:lang w:bidi="ar-SA"/>
        </w:rPr>
        <w:t>市金融工作局负责地方金融</w:t>
      </w:r>
      <w:r>
        <w:rPr>
          <w:rFonts w:eastAsia="仿宋_GB2312" w:cs="宋体" w:hint="eastAsia"/>
          <w:kern w:val="0"/>
          <w:sz w:val="32"/>
          <w:szCs w:val="32"/>
          <w:lang w:val="en-US" w:eastAsia="zh-CN" w:bidi="ar-SA"/>
        </w:rPr>
        <w:t>组织</w:t>
      </w:r>
      <w:r>
        <w:rPr>
          <w:rFonts w:eastAsia="仿宋_GB2312" w:cs="宋体"/>
          <w:kern w:val="0"/>
          <w:sz w:val="32"/>
          <w:szCs w:val="32"/>
          <w:lang w:bidi="ar-SA"/>
        </w:rPr>
        <w:t>和金融中介机构的行业管理和服务，按照监管规定和省、市监管要求，开展对地方金融组织检查，督导问题整改，规范行业秩序；指导地方金融组织发展，丰富地方金融业态，优化地方金融环境，支持地方金融组织更好服务经济社会发展</w:t>
      </w:r>
      <w:r>
        <w:rPr>
          <w:rFonts w:eastAsia="仿宋_GB2312" w:cs="宋体" w:hint="eastAsia"/>
          <w:kern w:val="0"/>
          <w:sz w:val="32"/>
          <w:szCs w:val="32"/>
          <w:lang w:bidi="ar-SA"/>
        </w:rPr>
        <w:t>。</w:t>
      </w:r>
    </w:p>
    <w:p>
      <w:pPr>
        <w:adjustRightInd w:val="0"/>
        <w:snapToGrid w:val="0"/>
        <w:spacing w:line="353" w:lineRule="auto"/>
        <w:ind w:firstLineChars="200" w:firstLine="640"/>
        <w:rPr>
          <w:rFonts w:eastAsia="仿宋_GB2312" w:cs="宋体" w:hint="eastAsia"/>
          <w:kern w:val="0"/>
          <w:sz w:val="32"/>
          <w:szCs w:val="32"/>
        </w:rPr>
      </w:pPr>
      <w:r>
        <w:rPr>
          <w:rFonts w:ascii="仿宋_GB2312" w:eastAsia="仿宋_GB2312" w:hint="eastAsia"/>
          <w:b/>
          <w:bCs/>
          <w:color w:val="auto"/>
          <w:kern w:val="0"/>
          <w:sz w:val="32"/>
          <w:szCs w:val="32"/>
        </w:rPr>
        <w:t>（2）项目立项、资金申报的依据。</w:t>
      </w:r>
    </w:p>
    <w:p>
      <w:pPr>
        <w:adjustRightInd w:val="0"/>
        <w:snapToGrid w:val="0"/>
        <w:spacing w:line="353" w:lineRule="auto"/>
        <w:ind w:firstLine="645"/>
        <w:rPr>
          <w:rFonts w:eastAsia="仿宋_GB2312"/>
          <w:sz w:val="32"/>
          <w:szCs w:val="32"/>
          <w:shd w:val="clear" w:color="auto" w:fill="FFFFFF"/>
          <w:lang w:val="en-US" w:eastAsia="zh-CN"/>
        </w:rPr>
      </w:pPr>
      <w:r>
        <w:rPr>
          <w:rFonts w:eastAsia="仿宋_GB2312" w:cs="宋体"/>
          <w:kern w:val="0"/>
          <w:sz w:val="32"/>
          <w:szCs w:val="32"/>
          <w:lang w:bidi="ar-SA"/>
        </w:rPr>
        <w:t>项目立项依据：</w:t>
      </w:r>
      <w:r>
        <w:rPr>
          <w:rFonts w:eastAsia="仿宋_GB2312" w:hint="eastAsia"/>
          <w:sz w:val="32"/>
          <w:szCs w:val="32"/>
          <w:shd w:val="clear" w:color="auto" w:fill="FFFFFF"/>
          <w:lang w:val="en-US" w:eastAsia="zh-CN"/>
        </w:rPr>
        <w:t>《</w:t>
      </w:r>
      <w:r>
        <w:rPr>
          <w:rFonts w:eastAsia="仿宋_GB2312" w:cs="宋体" w:hint="eastAsia"/>
          <w:bCs/>
          <w:sz w:val="32"/>
          <w:szCs w:val="32"/>
          <w:shd w:val="clear" w:color="auto" w:fill="FFFFFF"/>
          <w:lang w:bidi="ar-SA"/>
        </w:rPr>
        <w:t>四川省地方金融监督管理条例</w:t>
      </w:r>
      <w:r>
        <w:rPr>
          <w:rFonts w:eastAsia="仿宋_GB2312" w:hint="eastAsia"/>
          <w:sz w:val="32"/>
          <w:szCs w:val="32"/>
          <w:shd w:val="clear" w:color="auto" w:fill="FFFFFF"/>
          <w:lang w:val="en-US" w:eastAsia="zh-CN"/>
        </w:rPr>
        <w:t>》第六条关于“</w:t>
      </w:r>
      <w:r>
        <w:rPr>
          <w:rFonts w:eastAsia="仿宋_GB2312" w:cs="宋体" w:hint="eastAsia"/>
          <w:sz w:val="32"/>
          <w:szCs w:val="32"/>
          <w:shd w:val="clear" w:color="auto" w:fill="FFFFFF"/>
          <w:lang w:bidi="ar-SA"/>
        </w:rPr>
        <w:t>市（州）、县（市、区）人民政府应当加强对本行政区域内地方金融工作的领导，制定金融发展扶持政策，保障地方金融工作经费，防范化解金融风险</w:t>
      </w:r>
      <w:r>
        <w:rPr>
          <w:rFonts w:eastAsia="仿宋_GB2312" w:hint="eastAsia"/>
          <w:sz w:val="32"/>
          <w:szCs w:val="32"/>
          <w:shd w:val="clear" w:color="auto" w:fill="FFFFFF"/>
          <w:lang w:val="en-US" w:eastAsia="zh-CN"/>
        </w:rPr>
        <w:t>”的规定</w:t>
      </w:r>
      <w:r>
        <w:rPr>
          <w:rFonts w:eastAsia="仿宋_GB2312"/>
          <w:sz w:val="32"/>
          <w:szCs w:val="32"/>
          <w:shd w:val="clear" w:color="auto" w:fill="FFFFFF"/>
          <w:lang w:val="en-US" w:eastAsia="zh-CN"/>
        </w:rPr>
        <w:t>。</w:t>
      </w:r>
    </w:p>
    <w:p>
      <w:pPr>
        <w:adjustRightInd w:val="0"/>
        <w:snapToGrid w:val="0"/>
        <w:spacing w:line="353" w:lineRule="auto"/>
        <w:ind w:firstLine="645"/>
        <w:rPr>
          <w:rFonts w:eastAsia="仿宋_GB2312" w:cs="宋体" w:hint="eastAsia"/>
          <w:kern w:val="0"/>
          <w:sz w:val="32"/>
          <w:szCs w:val="32"/>
          <w:lang w:bidi="ar-SA"/>
        </w:rPr>
      </w:pPr>
      <w:r>
        <w:rPr>
          <w:rFonts w:eastAsia="仿宋_GB2312"/>
          <w:sz w:val="32"/>
          <w:szCs w:val="32"/>
          <w:shd w:val="clear" w:color="auto" w:fill="FFFFFF"/>
          <w:lang w:val="en-US" w:eastAsia="zh-CN"/>
        </w:rPr>
        <w:t>资金申报依据：参加和</w:t>
      </w:r>
      <w:r>
        <w:rPr>
          <w:rFonts w:ascii="Times New Roman" w:eastAsia="仿宋_GB2312" w:hAnsi="Times New Roman"/>
          <w:sz w:val="32"/>
          <w:szCs w:val="32"/>
          <w:shd w:val="clear" w:color="auto" w:fill="FFFFFF"/>
        </w:rPr>
        <w:t>组织地方金融监管培训，聘请第三方机构开展地方金融组织检查等。</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（3）资金管理办法制定情况，资金支持具体项目的条件、范围与支持方式概况。</w:t>
      </w:r>
    </w:p>
    <w:p>
      <w:pPr>
        <w:autoSpaceDE w:val="0"/>
        <w:autoSpaceDN w:val="0"/>
        <w:adjustRightInd w:val="0"/>
        <w:snapToGrid w:val="0"/>
        <w:spacing w:line="353" w:lineRule="auto"/>
        <w:ind w:firstLineChars="200" w:firstLine="640"/>
        <w:jc w:val="left"/>
        <w:rPr>
          <w:rFonts w:ascii="仿宋_GB2312" w:eastAsia="仿宋_GB2312"/>
          <w:color w:val="auto"/>
          <w:kern w:val="0"/>
          <w:sz w:val="32"/>
          <w:szCs w:val="32"/>
        </w:rPr>
      </w:pPr>
      <w:r>
        <w:rPr>
          <w:rFonts w:ascii="仿宋_GB2312" w:eastAsia="仿宋_GB2312" w:hint="eastAsia"/>
          <w:color w:val="auto"/>
          <w:kern w:val="0"/>
          <w:sz w:val="32"/>
          <w:szCs w:val="32"/>
        </w:rPr>
        <w:t>攀枝花市金融工作局制定《攀枝花市金融工作局财务管理办法》。</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（4）资金分配的原则及考虑因素。</w:t>
      </w:r>
    </w:p>
    <w:p>
      <w:pPr>
        <w:autoSpaceDE w:val="0"/>
        <w:autoSpaceDN w:val="0"/>
        <w:adjustRightInd w:val="0"/>
        <w:snapToGrid w:val="0"/>
        <w:spacing w:line="353" w:lineRule="auto"/>
        <w:ind w:firstLineChars="200" w:firstLine="640"/>
        <w:rPr>
          <w:rFonts w:eastAsia="仿宋_GB2312" w:cs="宋体" w:hint="eastAsia"/>
          <w:kern w:val="0"/>
          <w:sz w:val="32"/>
          <w:szCs w:val="32"/>
          <w:lang w:bidi="ar-SA"/>
        </w:rPr>
      </w:pPr>
      <w:r>
        <w:rPr>
          <w:rFonts w:eastAsia="仿宋_GB2312" w:cs="宋体" w:hint="eastAsia"/>
          <w:kern w:val="0"/>
          <w:sz w:val="32"/>
          <w:szCs w:val="32"/>
          <w:lang w:bidi="ar-SA"/>
        </w:rPr>
        <w:t>参加省局组织的</w:t>
      </w:r>
      <w:r>
        <w:rPr>
          <w:rFonts w:eastAsia="仿宋_GB2312" w:cs="宋体"/>
          <w:kern w:val="0"/>
          <w:sz w:val="32"/>
          <w:szCs w:val="32"/>
          <w:lang w:bidi="ar-SA"/>
        </w:rPr>
        <w:t>相关</w:t>
      </w:r>
      <w:r>
        <w:rPr>
          <w:rFonts w:eastAsia="仿宋_GB2312" w:cs="宋体" w:hint="eastAsia"/>
          <w:kern w:val="0"/>
          <w:sz w:val="32"/>
          <w:szCs w:val="32"/>
          <w:lang w:bidi="ar-SA"/>
        </w:rPr>
        <w:t>会议或培训</w:t>
      </w:r>
      <w:r>
        <w:rPr>
          <w:rFonts w:eastAsia="仿宋_GB2312" w:cs="宋体"/>
          <w:kern w:val="0"/>
          <w:sz w:val="32"/>
          <w:szCs w:val="32"/>
          <w:lang w:bidi="ar-SA"/>
        </w:rPr>
        <w:t>；</w:t>
      </w:r>
      <w:r>
        <w:rPr>
          <w:rFonts w:eastAsia="仿宋_GB2312" w:cs="宋体" w:hint="eastAsia"/>
          <w:kern w:val="0"/>
          <w:sz w:val="32"/>
          <w:szCs w:val="32"/>
          <w:lang w:bidi="ar-SA"/>
        </w:rPr>
        <w:t>组织地方金融组织、县（区）金融办工作人员和全市从业人员开展</w:t>
      </w:r>
      <w:r>
        <w:rPr>
          <w:rFonts w:eastAsia="仿宋_GB2312" w:cs="宋体"/>
          <w:kern w:val="0"/>
          <w:sz w:val="32"/>
          <w:szCs w:val="32"/>
          <w:lang w:bidi="ar-SA"/>
        </w:rPr>
        <w:t>地方金融组织监管及</w:t>
      </w:r>
      <w:r>
        <w:rPr>
          <w:rFonts w:eastAsia="仿宋_GB2312" w:cs="宋体" w:hint="eastAsia"/>
          <w:kern w:val="0"/>
          <w:sz w:val="32"/>
          <w:szCs w:val="32"/>
          <w:lang w:bidi="ar-SA"/>
        </w:rPr>
        <w:t>相关法律法规和政策解读</w:t>
      </w:r>
      <w:r>
        <w:rPr>
          <w:rFonts w:eastAsia="仿宋_GB2312" w:cs="宋体"/>
          <w:kern w:val="0"/>
          <w:sz w:val="32"/>
          <w:szCs w:val="32"/>
          <w:lang w:bidi="ar-SA"/>
        </w:rPr>
        <w:t>培训会；聘请第三方机构对辖内地方金融组织进行检查，并出具检查报告，各项绩效目标按实际发生组织实施。</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2.项目绩效目标。</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（1）项目主要内容。</w:t>
      </w:r>
    </w:p>
    <w:p>
      <w:pPr>
        <w:widowControl/>
        <w:adjustRightInd w:val="0"/>
        <w:snapToGrid w:val="0"/>
        <w:spacing w:line="353" w:lineRule="auto"/>
        <w:ind w:firstLineChars="200" w:firstLine="640"/>
        <w:rPr>
          <w:rFonts w:eastAsia="仿宋_GB2312" w:cs="宋体" w:hint="eastAsia"/>
          <w:kern w:val="0"/>
          <w:sz w:val="32"/>
          <w:szCs w:val="32"/>
          <w:lang w:bidi="ar-SA"/>
        </w:rPr>
      </w:pPr>
      <w:r>
        <w:rPr>
          <w:rFonts w:eastAsia="仿宋_GB2312" w:cs="宋体"/>
          <w:kern w:val="0"/>
          <w:sz w:val="32"/>
          <w:szCs w:val="32"/>
          <w:lang w:bidi="ar-SA"/>
        </w:rPr>
        <w:t>按要求</w:t>
      </w:r>
      <w:r>
        <w:rPr>
          <w:rFonts w:eastAsia="仿宋_GB2312" w:cs="宋体" w:hint="eastAsia"/>
          <w:kern w:val="0"/>
          <w:sz w:val="32"/>
          <w:szCs w:val="32"/>
          <w:lang w:bidi="ar-SA"/>
        </w:rPr>
        <w:t>对担保公司、小贷公司、典当行和交易场所四类地方金融机构经营情况进行日常监管和年度执法检查</w:t>
      </w:r>
      <w:r>
        <w:rPr>
          <w:rFonts w:eastAsia="仿宋_GB2312" w:cs="宋体"/>
          <w:kern w:val="0"/>
          <w:sz w:val="32"/>
          <w:szCs w:val="32"/>
          <w:lang w:bidi="ar-SA"/>
        </w:rPr>
        <w:t>；</w:t>
      </w:r>
      <w:r>
        <w:rPr>
          <w:rFonts w:eastAsia="仿宋_GB2312" w:cs="宋体" w:hint="eastAsia"/>
          <w:kern w:val="0"/>
          <w:sz w:val="32"/>
          <w:szCs w:val="32"/>
          <w:lang w:bidi="ar-SA"/>
        </w:rPr>
        <w:t>参加省地方金融监管局进行的各项业务培训</w:t>
      </w:r>
      <w:r>
        <w:rPr>
          <w:rFonts w:eastAsia="仿宋_GB2312" w:cs="宋体"/>
          <w:kern w:val="0"/>
          <w:sz w:val="32"/>
          <w:szCs w:val="32"/>
          <w:lang w:bidi="ar-SA"/>
        </w:rPr>
        <w:t>；</w:t>
      </w:r>
      <w:r>
        <w:rPr>
          <w:rFonts w:eastAsia="仿宋_GB2312" w:cs="宋体" w:hint="eastAsia"/>
          <w:kern w:val="0"/>
          <w:sz w:val="32"/>
          <w:szCs w:val="32"/>
          <w:lang w:bidi="ar-SA"/>
        </w:rPr>
        <w:t>对全市这四类地方金融机构从业人员进行政策宣传、业务指导和法律法规培训</w:t>
      </w:r>
      <w:r>
        <w:rPr>
          <w:rFonts w:eastAsia="仿宋_GB2312" w:cs="宋体"/>
          <w:kern w:val="0"/>
          <w:sz w:val="32"/>
          <w:szCs w:val="32"/>
          <w:lang w:bidi="ar-SA"/>
        </w:rPr>
        <w:t>；督导地方金融组织问题</w:t>
      </w:r>
      <w:r>
        <w:rPr>
          <w:rFonts w:eastAsia="仿宋_GB2312" w:cs="宋体" w:hint="eastAsia"/>
          <w:kern w:val="0"/>
          <w:sz w:val="32"/>
          <w:szCs w:val="32"/>
          <w:lang w:bidi="ar-SA"/>
        </w:rPr>
        <w:t>整改，</w:t>
      </w:r>
      <w:r>
        <w:rPr>
          <w:rFonts w:eastAsia="仿宋_GB2312" w:cs="宋体"/>
          <w:kern w:val="0"/>
          <w:sz w:val="32"/>
          <w:szCs w:val="32"/>
          <w:lang w:bidi="ar-SA"/>
        </w:rPr>
        <w:t>确保</w:t>
      </w:r>
      <w:r>
        <w:rPr>
          <w:rFonts w:eastAsia="仿宋_GB2312" w:cs="宋体" w:hint="eastAsia"/>
          <w:kern w:val="0"/>
          <w:sz w:val="32"/>
          <w:szCs w:val="32"/>
          <w:lang w:bidi="ar-SA"/>
        </w:rPr>
        <w:t>不发生金融风险和维稳事件。</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（2）项目应实现的具体绩效目标，包括目标的量化、细化情况以及项目实施进度计划等。</w:t>
      </w:r>
    </w:p>
    <w:p>
      <w:pPr>
        <w:widowControl/>
        <w:adjustRightInd w:val="0"/>
        <w:snapToGrid w:val="0"/>
        <w:spacing w:line="353" w:lineRule="auto"/>
        <w:ind w:firstLineChars="200" w:firstLine="640"/>
        <w:rPr>
          <w:rFonts w:eastAsia="仿宋_GB2312" w:cs="宋体"/>
          <w:kern w:val="0"/>
          <w:sz w:val="32"/>
          <w:szCs w:val="32"/>
          <w:lang w:bidi="ar-SA"/>
        </w:rPr>
      </w:pPr>
      <w:r>
        <w:rPr>
          <w:rFonts w:eastAsia="仿宋_GB2312" w:cs="宋体"/>
          <w:kern w:val="0"/>
          <w:sz w:val="32"/>
          <w:szCs w:val="32"/>
          <w:lang w:bidi="ar-SA"/>
        </w:rPr>
        <w:t>贯彻落实《四川省地方金融监督管理条例》，构建上下联动、部门协作的地方金融监管体系；加强地方金融监管队伍建设。通过培训、座谈交流、合规经营检查等方式，规范地方金融组织经营行为，着力提升地方金融组织服务实体经济的能力。</w:t>
      </w:r>
    </w:p>
    <w:p>
      <w:pPr>
        <w:numPr>
          <w:ilvl w:val="0"/>
          <w:numId w:val="5"/>
        </w:numPr>
        <w:autoSpaceDE w:val="0"/>
        <w:autoSpaceDN w:val="0"/>
        <w:adjustRightInd w:val="0"/>
        <w:snapToGrid w:val="0"/>
        <w:spacing w:line="353" w:lineRule="auto"/>
        <w:ind w:left="0" w:firstLineChars="150" w:firstLine="480"/>
        <w:jc w:val="left"/>
        <w:rPr>
          <w:rFonts w:ascii="仿宋_GB2312" w:eastAsia="仿宋_GB2312" w:cs="宋体" w:hint="eastAsia"/>
          <w:b/>
          <w:bCs/>
          <w:color w:val="auto"/>
          <w:kern w:val="0"/>
          <w:sz w:val="32"/>
          <w:szCs w:val="32"/>
        </w:rPr>
      </w:pPr>
      <w:r>
        <w:rPr>
          <w:rFonts w:ascii="仿宋_GB2312" w:eastAsia="仿宋_GB2312" w:cs="宋体" w:hint="eastAsia"/>
          <w:b/>
          <w:bCs/>
          <w:color w:val="auto"/>
          <w:kern w:val="0"/>
          <w:sz w:val="32"/>
          <w:szCs w:val="32"/>
        </w:rPr>
        <w:t>申报内容与实际相符，申报目标合理可行。</w:t>
      </w:r>
    </w:p>
    <w:p>
      <w:pPr>
        <w:widowControl/>
        <w:adjustRightInd w:val="0"/>
        <w:snapToGrid w:val="0"/>
        <w:spacing w:line="353" w:lineRule="auto"/>
        <w:ind w:firstLineChars="200" w:firstLine="640"/>
        <w:rPr>
          <w:rFonts w:eastAsia="仿宋_GB2312" w:cs="宋体" w:hint="eastAsia"/>
          <w:kern w:val="0"/>
          <w:sz w:val="32"/>
          <w:szCs w:val="32"/>
          <w:lang w:bidi="ar-SA"/>
        </w:rPr>
      </w:pPr>
      <w:r>
        <w:rPr>
          <w:rFonts w:ascii="Times New Roman" w:eastAsia="仿宋_GB2312" w:hAnsi="Times New Roman"/>
          <w:kern w:val="0"/>
          <w:sz w:val="32"/>
          <w:szCs w:val="32"/>
        </w:rPr>
        <w:t>申报内容与实际情况基本相符，绩效指标制定科学合理。</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olor w:val="auto"/>
          <w:kern w:val="0"/>
          <w:sz w:val="32"/>
          <w:szCs w:val="32"/>
        </w:rPr>
      </w:pPr>
      <w:r>
        <w:rPr>
          <w:rFonts w:ascii="仿宋_GB2312" w:eastAsia="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jc w:val="left"/>
        <w:rPr>
          <w:rFonts w:eastAsia="仿宋_GB2312" w:cs="宋体" w:hint="eastAsia"/>
          <w:kern w:val="0"/>
          <w:sz w:val="32"/>
          <w:szCs w:val="32"/>
          <w:lang w:bidi="ar-SA"/>
        </w:rPr>
      </w:pPr>
      <w:r>
        <w:rPr>
          <w:rFonts w:eastAsia="仿宋_GB2312" w:cs="宋体" w:hint="eastAsia"/>
          <w:kern w:val="0"/>
          <w:sz w:val="32"/>
          <w:szCs w:val="32"/>
          <w:lang w:bidi="ar-SA"/>
        </w:rPr>
        <w:t>20</w:t>
      </w:r>
      <w:r>
        <w:rPr>
          <w:rFonts w:eastAsia="仿宋_GB2312" w:cs="宋体" w:hint="eastAsia"/>
          <w:kern w:val="0"/>
          <w:sz w:val="32"/>
          <w:szCs w:val="32"/>
          <w:lang w:val="en-US" w:eastAsia="zh-CN" w:bidi="ar-SA"/>
        </w:rPr>
        <w:t>20</w:t>
      </w:r>
      <w:r>
        <w:rPr>
          <w:rFonts w:eastAsia="仿宋_GB2312" w:cs="宋体" w:hint="eastAsia"/>
          <w:kern w:val="0"/>
          <w:sz w:val="32"/>
          <w:szCs w:val="32"/>
          <w:lang w:bidi="ar-SA"/>
        </w:rPr>
        <w:t>年1</w:t>
      </w:r>
      <w:r>
        <w:rPr>
          <w:rFonts w:eastAsia="仿宋_GB2312" w:cs="宋体" w:hint="eastAsia"/>
          <w:kern w:val="0"/>
          <w:sz w:val="32"/>
          <w:szCs w:val="32"/>
          <w:lang w:val="en-US" w:eastAsia="zh-CN" w:bidi="ar-SA"/>
        </w:rPr>
        <w:t>1</w:t>
      </w:r>
      <w:r>
        <w:rPr>
          <w:rFonts w:eastAsia="仿宋_GB2312" w:cs="宋体" w:hint="eastAsia"/>
          <w:kern w:val="0"/>
          <w:sz w:val="32"/>
          <w:szCs w:val="32"/>
          <w:lang w:bidi="ar-SA"/>
        </w:rPr>
        <w:t>月预算编制</w:t>
      </w:r>
      <w:r>
        <w:rPr>
          <w:rFonts w:eastAsia="仿宋_GB2312" w:cs="宋体" w:hint="eastAsia"/>
          <w:kern w:val="0"/>
          <w:sz w:val="32"/>
          <w:szCs w:val="32"/>
          <w:lang w:val="en-US" w:eastAsia="zh-CN" w:bidi="ar-SA"/>
        </w:rPr>
        <w:t>10万</w:t>
      </w:r>
      <w:r>
        <w:rPr>
          <w:rFonts w:eastAsia="仿宋_GB2312" w:cs="宋体" w:hint="eastAsia"/>
          <w:kern w:val="0"/>
          <w:sz w:val="32"/>
          <w:szCs w:val="32"/>
          <w:lang w:bidi="ar-SA"/>
        </w:rPr>
        <w:t>元，202</w:t>
      </w:r>
      <w:r>
        <w:rPr>
          <w:rFonts w:eastAsia="仿宋_GB2312" w:cs="宋体" w:hint="eastAsia"/>
          <w:kern w:val="0"/>
          <w:sz w:val="32"/>
          <w:szCs w:val="32"/>
          <w:lang w:val="en-US" w:eastAsia="zh-CN" w:bidi="ar-SA"/>
        </w:rPr>
        <w:t>1</w:t>
      </w:r>
      <w:r>
        <w:rPr>
          <w:rFonts w:eastAsia="仿宋_GB2312" w:cs="宋体" w:hint="eastAsia"/>
          <w:kern w:val="0"/>
          <w:sz w:val="32"/>
          <w:szCs w:val="32"/>
          <w:lang w:bidi="ar-SA"/>
        </w:rPr>
        <w:t>年2月批复</w:t>
      </w:r>
      <w:r>
        <w:rPr>
          <w:rFonts w:eastAsia="仿宋_GB2312" w:cs="宋体" w:hint="eastAsia"/>
          <w:kern w:val="0"/>
          <w:sz w:val="32"/>
          <w:szCs w:val="32"/>
          <w:lang w:val="en-US" w:eastAsia="zh-CN" w:bidi="ar-SA"/>
        </w:rPr>
        <w:t>10</w:t>
      </w:r>
      <w:r>
        <w:rPr>
          <w:rFonts w:eastAsia="仿宋_GB2312" w:cs="宋体" w:hint="eastAsia"/>
          <w:kern w:val="0"/>
          <w:sz w:val="32"/>
          <w:szCs w:val="32"/>
          <w:lang w:bidi="ar-SA"/>
        </w:rPr>
        <w:t>万元。</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（1）资金计划。</w:t>
      </w:r>
    </w:p>
    <w:p>
      <w:pPr>
        <w:adjustRightInd w:val="0"/>
        <w:snapToGrid w:val="0"/>
        <w:spacing w:line="353" w:lineRule="auto"/>
        <w:ind w:left="0" w:firstLineChars="200" w:firstLine="640"/>
        <w:rPr>
          <w:rFonts w:eastAsia="仿宋_GB2312" w:cs="宋体" w:hint="eastAsia"/>
          <w:kern w:val="0"/>
          <w:sz w:val="32"/>
          <w:szCs w:val="32"/>
          <w:lang w:bidi="ar-SA"/>
        </w:rPr>
      </w:pPr>
      <w:r>
        <w:rPr>
          <w:rFonts w:eastAsia="仿宋_GB2312" w:cs="宋体" w:hint="eastAsia"/>
          <w:kern w:val="0"/>
          <w:sz w:val="32"/>
          <w:szCs w:val="32"/>
          <w:lang w:bidi="ar-SA"/>
        </w:rPr>
        <w:t>参加省局组织的会议或培训，费用合计约3.0万元；组织地方金融组织、县（区）金融办工作人员和全市从业人员开展</w:t>
      </w:r>
      <w:r>
        <w:rPr>
          <w:rFonts w:eastAsia="仿宋_GB2312" w:cs="宋体"/>
          <w:kern w:val="0"/>
          <w:sz w:val="32"/>
          <w:szCs w:val="32"/>
          <w:lang w:bidi="ar-SA"/>
        </w:rPr>
        <w:t>地方金融组织监管及</w:t>
      </w:r>
      <w:r>
        <w:rPr>
          <w:rFonts w:eastAsia="仿宋_GB2312" w:cs="宋体" w:hint="eastAsia"/>
          <w:kern w:val="0"/>
          <w:sz w:val="32"/>
          <w:szCs w:val="32"/>
          <w:lang w:bidi="ar-SA"/>
        </w:rPr>
        <w:t>相关法律法规和政策解读</w:t>
      </w:r>
      <w:r>
        <w:rPr>
          <w:rFonts w:eastAsia="仿宋_GB2312" w:cs="宋体"/>
          <w:kern w:val="0"/>
          <w:sz w:val="32"/>
          <w:szCs w:val="32"/>
          <w:lang w:bidi="ar-SA"/>
        </w:rPr>
        <w:t>培训会</w:t>
      </w:r>
      <w:r>
        <w:rPr>
          <w:rFonts w:eastAsia="仿宋_GB2312" w:cs="宋体" w:hint="eastAsia"/>
          <w:kern w:val="0"/>
          <w:sz w:val="32"/>
          <w:szCs w:val="32"/>
          <w:lang w:bidi="ar-SA"/>
        </w:rPr>
        <w:t>，费用总合计约需1.6万元；聘请第三方机构，开展</w:t>
      </w:r>
      <w:r>
        <w:rPr>
          <w:rFonts w:eastAsia="仿宋_GB2312" w:cs="宋体"/>
          <w:kern w:val="0"/>
          <w:sz w:val="32"/>
          <w:szCs w:val="32"/>
          <w:lang w:bidi="ar-SA"/>
        </w:rPr>
        <w:t>地方金融组织</w:t>
      </w:r>
      <w:r>
        <w:rPr>
          <w:rFonts w:eastAsia="仿宋_GB2312" w:cs="宋体" w:hint="eastAsia"/>
          <w:kern w:val="0"/>
          <w:sz w:val="32"/>
          <w:szCs w:val="32"/>
          <w:lang w:bidi="ar-SA"/>
        </w:rPr>
        <w:t>合规经营检查，费用合计</w:t>
      </w:r>
      <w:r>
        <w:rPr>
          <w:rFonts w:eastAsia="仿宋_GB2312" w:cs="宋体"/>
          <w:kern w:val="0"/>
          <w:sz w:val="32"/>
          <w:szCs w:val="32"/>
          <w:lang w:bidi="ar-SA"/>
        </w:rPr>
        <w:t>约需</w:t>
      </w:r>
      <w:r>
        <w:rPr>
          <w:rFonts w:eastAsia="仿宋_GB2312" w:cs="宋体" w:hint="eastAsia"/>
          <w:kern w:val="0"/>
          <w:sz w:val="32"/>
          <w:szCs w:val="32"/>
          <w:lang w:bidi="ar-SA"/>
        </w:rPr>
        <w:t>5.0万元；</w:t>
      </w:r>
      <w:r>
        <w:rPr>
          <w:rFonts w:eastAsia="仿宋_GB2312" w:cs="宋体"/>
          <w:kern w:val="0"/>
          <w:sz w:val="32"/>
          <w:szCs w:val="32"/>
          <w:lang w:bidi="ar-SA"/>
        </w:rPr>
        <w:t>其他费用（租车费等）合计约0.4万元</w:t>
      </w:r>
      <w:r>
        <w:rPr>
          <w:rFonts w:eastAsia="仿宋_GB2312" w:cs="宋体" w:hint="eastAsia"/>
          <w:kern w:val="0"/>
          <w:sz w:val="32"/>
          <w:szCs w:val="32"/>
          <w:lang w:bidi="ar-SA"/>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（2）资金到位。</w:t>
      </w:r>
    </w:p>
    <w:p>
      <w:pPr>
        <w:autoSpaceDE w:val="0"/>
        <w:autoSpaceDN w:val="0"/>
        <w:adjustRightInd w:val="0"/>
        <w:snapToGrid w:val="0"/>
        <w:spacing w:line="353" w:lineRule="auto"/>
        <w:ind w:firstLineChars="200" w:firstLine="640"/>
        <w:rPr>
          <w:rFonts w:eastAsia="仿宋_GB2312" w:cs="宋体" w:hint="eastAsia"/>
          <w:kern w:val="0"/>
          <w:sz w:val="32"/>
          <w:szCs w:val="32"/>
          <w:lang w:bidi="ar-SA"/>
        </w:rPr>
      </w:pPr>
      <w:r>
        <w:rPr>
          <w:rFonts w:eastAsia="仿宋_GB2312" w:cs="宋体" w:hint="eastAsia"/>
          <w:kern w:val="0"/>
          <w:sz w:val="32"/>
          <w:szCs w:val="32"/>
          <w:lang w:bidi="ar-SA"/>
        </w:rPr>
        <w:t>202</w:t>
      </w:r>
      <w:r>
        <w:rPr>
          <w:rFonts w:eastAsia="仿宋_GB2312" w:cs="宋体" w:hint="eastAsia"/>
          <w:kern w:val="0"/>
          <w:sz w:val="32"/>
          <w:szCs w:val="32"/>
          <w:lang w:val="en-US" w:eastAsia="zh-CN" w:bidi="ar-SA"/>
        </w:rPr>
        <w:t>1</w:t>
      </w:r>
      <w:r>
        <w:rPr>
          <w:rFonts w:eastAsia="仿宋_GB2312" w:cs="宋体" w:hint="eastAsia"/>
          <w:kern w:val="0"/>
          <w:sz w:val="32"/>
          <w:szCs w:val="32"/>
          <w:lang w:bidi="ar-SA"/>
        </w:rPr>
        <w:t>年2月预算批复后全部到位。</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（3）资金使用。</w:t>
      </w:r>
    </w:p>
    <w:p>
      <w:pPr>
        <w:autoSpaceDE w:val="0"/>
        <w:autoSpaceDN w:val="0"/>
        <w:adjustRightInd w:val="0"/>
        <w:snapToGrid w:val="0"/>
        <w:spacing w:line="353" w:lineRule="auto"/>
        <w:ind w:firstLineChars="200" w:firstLine="640"/>
        <w:rPr>
          <w:rFonts w:eastAsia="仿宋_GB2312" w:cs="宋体" w:hint="eastAsia"/>
          <w:kern w:val="0"/>
          <w:sz w:val="32"/>
          <w:szCs w:val="32"/>
          <w:lang w:val="en-US" w:eastAsia="zh-CN" w:bidi="ar-SA"/>
        </w:rPr>
      </w:pPr>
      <w:r>
        <w:rPr>
          <w:rFonts w:eastAsia="仿宋_GB2312" w:cs="宋体"/>
          <w:kern w:val="0"/>
          <w:sz w:val="32"/>
          <w:szCs w:val="32"/>
          <w:lang w:bidi="ar-SA"/>
        </w:rPr>
        <w:t>差旅费、印刷费、委托业务费、租赁费、培训费等费用合计支出10万元。</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eastAsia="仿宋_GB2312" w:hint="eastAsia"/>
          <w:kern w:val="0"/>
          <w:sz w:val="32"/>
          <w:szCs w:val="32"/>
        </w:rPr>
      </w:pPr>
      <w:r>
        <w:rPr>
          <w:rFonts w:ascii="Times New Roman" w:eastAsia="仿宋_GB2312" w:hAnsi="Times New Roman" w:hint="eastAsia"/>
          <w:kern w:val="0"/>
          <w:sz w:val="32"/>
          <w:szCs w:val="32"/>
        </w:rPr>
        <w:t>该</w:t>
      </w:r>
      <w:r>
        <w:rPr>
          <w:rFonts w:ascii="Times New Roman" w:eastAsia="仿宋_GB2312" w:hAnsi="Times New Roman"/>
          <w:kern w:val="0"/>
          <w:sz w:val="32"/>
          <w:szCs w:val="32"/>
        </w:rPr>
        <w:t>项目财务管理制度健全，严格执行财务管理制度，账务处理及时，会计核算规范。涉及</w:t>
      </w:r>
      <w:r>
        <w:rPr>
          <w:rFonts w:ascii="仿宋_GB2312" w:eastAsia="仿宋_GB2312" w:hint="eastAsia"/>
          <w:color w:val="000000"/>
          <w:kern w:val="0"/>
          <w:sz w:val="32"/>
          <w:szCs w:val="32"/>
          <w:lang w:val="en-US" w:eastAsia="zh-CN"/>
        </w:rPr>
        <w:t>委托业务费等</w:t>
      </w:r>
      <w:r>
        <w:rPr>
          <w:rFonts w:ascii="仿宋_GB2312" w:eastAsia="仿宋_GB2312" w:hint="eastAsia"/>
          <w:color w:val="000000"/>
          <w:kern w:val="0"/>
          <w:sz w:val="32"/>
          <w:szCs w:val="32"/>
        </w:rPr>
        <w:t>按照合同约定支付。</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（三）项目实施及管理情况。</w:t>
      </w:r>
    </w:p>
    <w:p>
      <w:pPr>
        <w:adjustRightInd w:val="0"/>
        <w:snapToGrid w:val="0"/>
        <w:spacing w:line="353" w:lineRule="auto"/>
        <w:ind w:firstLine="624"/>
        <w:rPr>
          <w:rFonts w:ascii="仿宋_GB2312" w:eastAsia="仿宋_GB2312" w:hint="eastAsia"/>
          <w:color w:val="000000"/>
          <w:spacing w:val="-4"/>
          <w:sz w:val="32"/>
          <w:szCs w:val="32"/>
        </w:rPr>
      </w:pPr>
      <w:r>
        <w:rPr>
          <w:rFonts w:eastAsia="仿宋_GB2312" w:cs="宋体"/>
          <w:kern w:val="0"/>
          <w:sz w:val="32"/>
          <w:szCs w:val="32"/>
          <w:lang w:bidi="ar-SA"/>
        </w:rPr>
        <w:t>按照《四川省地方金融监督管理条例》和省地方金融监管局关于地方金融组织</w:t>
      </w:r>
      <w:r>
        <w:rPr>
          <w:rFonts w:eastAsia="仿宋_GB2312" w:cs="宋体" w:hint="eastAsia"/>
          <w:kern w:val="0"/>
          <w:sz w:val="32"/>
          <w:szCs w:val="32"/>
          <w:lang w:bidi="ar-SA"/>
        </w:rPr>
        <w:t>“减量、提质、增效”工作思路，强化对地方金融组织的监管和行业规范</w:t>
      </w:r>
      <w:r>
        <w:rPr>
          <w:rFonts w:ascii="仿宋_GB2312" w:eastAsia="仿宋_GB2312" w:hint="eastAsia"/>
          <w:color w:val="000000"/>
          <w:spacing w:val="-4"/>
          <w:sz w:val="32"/>
          <w:szCs w:val="32"/>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（四）项目绩效情况。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widowControl/>
        <w:adjustRightInd w:val="0"/>
        <w:snapToGrid w:val="0"/>
        <w:spacing w:line="353" w:lineRule="auto"/>
        <w:ind w:firstLineChars="200" w:firstLine="640"/>
        <w:rPr>
          <w:rFonts w:eastAsia="仿宋_GB2312" w:cs="宋体" w:hint="eastAsia"/>
          <w:kern w:val="0"/>
          <w:sz w:val="32"/>
          <w:szCs w:val="32"/>
          <w:lang w:bidi="ar-SA"/>
        </w:rPr>
      </w:pPr>
      <w:r>
        <w:rPr>
          <w:rFonts w:eastAsia="仿宋_GB2312" w:cs="宋体" w:hint="eastAsia"/>
          <w:kern w:val="0"/>
          <w:sz w:val="32"/>
          <w:szCs w:val="32"/>
          <w:lang w:bidi="ar-SA"/>
        </w:rPr>
        <w:t>坚持“减量、提质、增效”工作思路，强化对地方金融组织的监管和行业规范。聘请第三方机构、联合区（县）金融办开展辖内融资担保公司合规经营检查，督促指导5家融资担保公司做好问题整改。稳妥处置金丰小贷违规经营问题，约谈控股大股东及高管，助力其加快恢复服务实体经济能力。组织开展典当行年审工作，对6家典当行进行了现场检查，督促企业做好年审检查发现问题整改；指导3家“僵尸企业”退出典当行业。</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2.项目效益情况。</w:t>
      </w:r>
    </w:p>
    <w:p>
      <w:pPr>
        <w:adjustRightInd w:val="0"/>
        <w:snapToGrid w:val="0"/>
        <w:spacing w:line="353" w:lineRule="auto"/>
        <w:ind w:firstLine="644"/>
        <w:rPr>
          <w:rFonts w:ascii="Times New Roman" w:eastAsia="仿宋_GB2312" w:cs="Times New Roman" w:hAnsi="Times New Roman"/>
          <w:spacing w:val="0"/>
          <w:sz w:val="32"/>
          <w:szCs w:val="32"/>
          <w:lang w:bidi="ar-SA"/>
        </w:rPr>
      </w:pPr>
      <w:r>
        <w:rPr>
          <w:rFonts w:ascii="Times New Roman" w:eastAsia="仿宋_GB2312" w:cs="Times New Roman" w:hAnsi="Times New Roman"/>
          <w:spacing w:val="0"/>
          <w:sz w:val="32"/>
          <w:szCs w:val="32"/>
          <w:lang w:bidi="ar-SA"/>
        </w:rPr>
        <w:t>按照省局要求，对辖内融资担保公司合规经营检查，并督促指导5家融资担保公司做好问题整改；对6家典当行进行了现场合规经营检查，并督促其做好年审检查发现问题整改；指导3家“僵尸企业”退出典当行业。</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（五）评价结论及建议。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firstLineChars="200" w:firstLine="640"/>
        <w:rPr>
          <w:rFonts w:ascii="仿宋_GB2312" w:eastAsia="仿宋_GB2312" w:hint="eastAsia"/>
          <w:kern w:val="0"/>
          <w:sz w:val="32"/>
          <w:szCs w:val="32"/>
        </w:rPr>
      </w:pPr>
      <w:r>
        <w:rPr>
          <w:rFonts w:ascii="仿宋_GB2312" w:eastAsia="仿宋_GB2312" w:hint="eastAsia"/>
          <w:kern w:val="0"/>
          <w:sz w:val="32"/>
          <w:szCs w:val="32"/>
        </w:rPr>
        <w:t>实现地方金融组织“减量提值增效”目标，地方金融业态更加丰富，地方金融组织服务实体经济能力得到提升，地方金融生态进一步优化。</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2.存在的问题。</w:t>
      </w:r>
    </w:p>
    <w:p>
      <w:pPr>
        <w:autoSpaceDE w:val="0"/>
        <w:autoSpaceDN w:val="0"/>
        <w:adjustRightInd w:val="0"/>
        <w:snapToGrid w:val="0"/>
        <w:spacing w:line="353" w:lineRule="auto"/>
        <w:ind w:firstLineChars="200" w:firstLine="640"/>
        <w:jc w:val="left"/>
        <w:rPr>
          <w:rFonts w:ascii="仿宋_GB2312" w:eastAsia="仿宋_GB2312" w:hint="eastAsia"/>
          <w:color w:val="auto"/>
          <w:kern w:val="0"/>
          <w:sz w:val="32"/>
          <w:szCs w:val="32"/>
          <w:lang w:val="en-US" w:eastAsia="zh-CN"/>
        </w:rPr>
      </w:pPr>
      <w:r>
        <w:rPr>
          <w:rFonts w:ascii="仿宋_GB2312" w:eastAsia="仿宋_GB2312" w:hint="eastAsia"/>
          <w:color w:val="auto"/>
          <w:kern w:val="0"/>
          <w:sz w:val="32"/>
          <w:szCs w:val="32"/>
          <w:lang w:val="en-US" w:eastAsia="zh-CN"/>
        </w:rPr>
        <w:t>无</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3.相关建议。</w:t>
      </w:r>
    </w:p>
    <w:p>
      <w:pPr>
        <w:autoSpaceDE w:val="0"/>
        <w:autoSpaceDN w:val="0"/>
        <w:adjustRightInd w:val="0"/>
        <w:snapToGrid w:val="0"/>
        <w:spacing w:line="353" w:lineRule="auto"/>
        <w:ind w:firstLineChars="200" w:firstLine="640"/>
        <w:jc w:val="left"/>
        <w:rPr>
          <w:rFonts w:eastAsia="仿宋_GB2312" w:hint="eastAsia"/>
          <w:color w:val="auto"/>
          <w:kern w:val="0"/>
          <w:sz w:val="32"/>
          <w:szCs w:val="32"/>
          <w:lang w:eastAsia="zh-CN"/>
        </w:rPr>
      </w:pPr>
      <w:r>
        <w:rPr>
          <w:rFonts w:ascii="仿宋" w:eastAsia="仿宋" w:hint="eastAsia"/>
          <w:color w:val="auto"/>
          <w:sz w:val="32"/>
          <w:szCs w:val="32"/>
          <w:lang w:val="en-US" w:eastAsia="zh-CN"/>
        </w:rPr>
        <w:t>无</w:t>
      </w:r>
    </w:p>
    <w:p>
      <w:pPr>
        <w:autoSpaceDE w:val="0"/>
        <w:autoSpaceDN w:val="0"/>
        <w:adjustRightInd w:val="0"/>
        <w:snapToGrid w:val="0"/>
        <w:spacing w:line="353" w:lineRule="auto"/>
        <w:ind w:firstLineChars="200" w:firstLine="640"/>
        <w:jc w:val="left"/>
        <w:rPr>
          <w:rFonts w:ascii="黑体" w:eastAsia="黑体" w:cs="黑体" w:hint="eastAsia"/>
          <w:color w:val="auto"/>
          <w:sz w:val="32"/>
          <w:szCs w:val="32"/>
        </w:rPr>
      </w:pPr>
      <w:r>
        <w:rPr>
          <w:rFonts w:eastAsia="黑体" w:hint="eastAsia"/>
          <w:color w:val="auto"/>
          <w:kern w:val="0"/>
          <w:sz w:val="32"/>
          <w:szCs w:val="32"/>
        </w:rPr>
        <w:t>三、</w:t>
      </w:r>
      <w:r>
        <w:rPr>
          <w:rFonts w:ascii="黑体" w:eastAsia="黑体" w:cs="黑体" w:hint="eastAsia"/>
          <w:color w:val="auto"/>
          <w:sz w:val="32"/>
          <w:szCs w:val="32"/>
          <w:lang w:val="en-US" w:eastAsia="zh-CN"/>
        </w:rPr>
        <w:t>招商引资项目</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widowControl/>
        <w:adjustRightInd w:val="0"/>
        <w:snapToGrid w:val="0"/>
        <w:spacing w:line="353" w:lineRule="auto"/>
        <w:ind w:firstLineChars="150" w:firstLine="480"/>
        <w:textAlignment w:val="baseline"/>
        <w:rPr>
          <w:rFonts w:eastAsia="方正仿宋_GBK"/>
          <w:spacing w:val="-4"/>
          <w:sz w:val="33"/>
          <w:szCs w:val="33"/>
        </w:rPr>
      </w:pPr>
      <w:r>
        <w:rPr>
          <w:rFonts w:eastAsia="仿宋_GB2312" w:hint="eastAsia"/>
          <w:color w:val="auto"/>
          <w:kern w:val="0"/>
          <w:sz w:val="32"/>
          <w:szCs w:val="32"/>
        </w:rPr>
        <w:t>（1）</w:t>
      </w:r>
      <w:r>
        <w:rPr>
          <w:rFonts w:eastAsia="方正仿宋_GBK"/>
          <w:spacing w:val="-4"/>
          <w:sz w:val="33"/>
          <w:szCs w:val="33"/>
        </w:rPr>
        <w:t>市金融工作局负责推动地方政府与金融机构合作；引进市外金融机构入驻，促进地方金融机构合理布局和金融资源优化配置；统筹全市地方金融要素市场体系建设。</w:t>
      </w:r>
    </w:p>
    <w:p>
      <w:pPr>
        <w:autoSpaceDE w:val="0"/>
        <w:autoSpaceDN w:val="0"/>
        <w:adjustRightInd w:val="0"/>
        <w:snapToGrid w:val="0"/>
        <w:spacing w:line="353" w:lineRule="auto"/>
        <w:ind w:firstLineChars="200" w:firstLine="640"/>
        <w:jc w:val="left"/>
        <w:rPr>
          <w:rFonts w:eastAsia="仿宋_GB2312"/>
          <w:color w:val="auto"/>
          <w:kern w:val="0"/>
          <w:sz w:val="32"/>
          <w:szCs w:val="32"/>
        </w:rPr>
      </w:pP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（2）项目立项、资金申报的依据。</w:t>
      </w:r>
    </w:p>
    <w:p>
      <w:pPr>
        <w:autoSpaceDE w:val="0"/>
        <w:autoSpaceDN w:val="0"/>
        <w:adjustRightInd w:val="0"/>
        <w:snapToGrid w:val="0"/>
        <w:spacing w:line="353" w:lineRule="auto"/>
        <w:ind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sz w:val="32"/>
          <w:szCs w:val="32"/>
          <w:shd w:val="clear" w:color="auto" w:fill="FFFFFF"/>
          <w:lang w:val="en-US" w:eastAsia="zh-CN"/>
        </w:rPr>
        <w:t>项目立项依据：</w:t>
      </w:r>
      <w:r>
        <w:rPr>
          <w:rFonts w:ascii="Times New Roman" w:eastAsia="仿宋_GB2312" w:hAnsi="Times New Roman" w:hint="eastAsia"/>
          <w:sz w:val="32"/>
          <w:szCs w:val="32"/>
          <w:shd w:val="clear" w:color="auto" w:fill="FFFFFF"/>
          <w:lang w:eastAsia="zh-CN"/>
        </w:rPr>
        <w:t>《</w:t>
      </w:r>
      <w:r>
        <w:rPr>
          <w:rFonts w:ascii="Times New Roman" w:eastAsia="仿宋_GB2312" w:hAnsi="Times New Roman" w:hint="eastAsia"/>
          <w:sz w:val="32"/>
          <w:szCs w:val="32"/>
          <w:shd w:val="clear" w:color="auto" w:fill="FFFFFF"/>
          <w:lang w:val="en-US" w:eastAsia="zh-CN"/>
        </w:rPr>
        <w:t>攀枝花市人民政府办公室关于进一步完善投资促进机制的通知</w:t>
      </w:r>
      <w:r>
        <w:rPr>
          <w:rFonts w:ascii="Times New Roman" w:eastAsia="仿宋_GB2312" w:hAnsi="Times New Roman" w:hint="eastAsia"/>
          <w:sz w:val="32"/>
          <w:szCs w:val="32"/>
          <w:shd w:val="clear" w:color="auto" w:fill="FFFFFF"/>
          <w:lang w:eastAsia="zh-CN"/>
        </w:rPr>
        <w:t>》（</w:t>
      </w:r>
      <w:r>
        <w:rPr>
          <w:rFonts w:ascii="Times New Roman" w:eastAsia="仿宋_GB2312" w:hAnsi="Times New Roman" w:hint="eastAsia"/>
          <w:sz w:val="32"/>
          <w:szCs w:val="32"/>
          <w:shd w:val="clear" w:color="auto" w:fill="FFFFFF"/>
          <w:lang w:val="en-US" w:eastAsia="zh-CN"/>
        </w:rPr>
        <w:t>攀办函</w:t>
      </w:r>
      <w:r>
        <w:rPr>
          <w:rFonts w:ascii="Times New Roman" w:eastAsia="仿宋_GB2312" w:cs="Times New Roman" w:hAnsi="Times New Roman"/>
          <w:spacing w:val="-4"/>
          <w:sz w:val="32"/>
          <w:szCs w:val="32"/>
          <w:lang w:bidi="ar-SA"/>
        </w:rPr>
        <w:t>〔2018〕</w:t>
      </w:r>
      <w:r>
        <w:rPr>
          <w:rFonts w:ascii="Times New Roman" w:eastAsia="仿宋_GB2312" w:hAnsi="Times New Roman" w:hint="eastAsia"/>
          <w:sz w:val="32"/>
          <w:szCs w:val="32"/>
          <w:shd w:val="clear" w:color="auto" w:fill="FFFFFF"/>
          <w:lang w:val="en-US" w:eastAsia="zh-CN"/>
        </w:rPr>
        <w:t>1号</w:t>
      </w:r>
      <w:r>
        <w:rPr>
          <w:rFonts w:ascii="Times New Roman" w:eastAsia="仿宋_GB2312" w:hAnsi="Times New Roman" w:hint="eastAsia"/>
          <w:sz w:val="32"/>
          <w:szCs w:val="32"/>
          <w:shd w:val="clear" w:color="auto" w:fill="FFFFFF"/>
          <w:lang w:eastAsia="zh-CN"/>
        </w:rPr>
        <w:t>）</w:t>
      </w:r>
      <w:r>
        <w:rPr>
          <w:rFonts w:ascii="Times New Roman" w:eastAsia="仿宋_GB2312" w:hAnsi="Times New Roman"/>
          <w:sz w:val="32"/>
          <w:szCs w:val="32"/>
          <w:shd w:val="clear" w:color="auto" w:fill="FFFFFF"/>
          <w:lang w:val="en-US" w:eastAsia="zh-CN"/>
        </w:rPr>
        <w:t>。</w:t>
      </w:r>
    </w:p>
    <w:p>
      <w:pPr>
        <w:autoSpaceDE w:val="0"/>
        <w:autoSpaceDN w:val="0"/>
        <w:adjustRightInd w:val="0"/>
        <w:snapToGrid w:val="0"/>
        <w:spacing w:line="353" w:lineRule="auto"/>
        <w:ind w:firstLineChars="200" w:firstLine="640"/>
        <w:rPr>
          <w:rFonts w:eastAsia="仿宋_GB2312"/>
          <w:sz w:val="32"/>
          <w:szCs w:val="32"/>
          <w:shd w:val="clear" w:color="auto" w:fill="FFFFFF"/>
        </w:rPr>
      </w:pPr>
      <w:r>
        <w:rPr>
          <w:rFonts w:eastAsia="仿宋_GB2312"/>
          <w:sz w:val="32"/>
          <w:szCs w:val="32"/>
          <w:shd w:val="clear" w:color="auto" w:fill="FFFFFF"/>
        </w:rPr>
        <w:t>资金申报依据：按照组织召开相关会议，沟通汇报等相关工作所需费用测算申报。</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（3）</w:t>
      </w:r>
      <w:r>
        <w:rPr>
          <w:rFonts w:eastAsia="仿宋_GB2312"/>
          <w:b/>
          <w:bCs/>
          <w:color w:val="auto"/>
          <w:kern w:val="0"/>
          <w:sz w:val="32"/>
          <w:szCs w:val="32"/>
        </w:rPr>
        <w:t>资金分配的原则及考虑因素。</w:t>
      </w:r>
    </w:p>
    <w:p>
      <w:pPr>
        <w:autoSpaceDE w:val="0"/>
        <w:autoSpaceDN w:val="0"/>
        <w:adjustRightInd w:val="0"/>
        <w:snapToGrid w:val="0"/>
        <w:spacing w:line="353" w:lineRule="auto"/>
        <w:ind w:firstLineChars="200" w:firstLine="640"/>
        <w:rPr>
          <w:rFonts w:eastAsia="仿宋_GB2312"/>
          <w:sz w:val="32"/>
          <w:szCs w:val="32"/>
          <w:shd w:val="clear" w:color="auto" w:fill="FFFFFF"/>
        </w:rPr>
      </w:pPr>
      <w:r>
        <w:rPr>
          <w:rFonts w:eastAsia="仿宋_GB2312"/>
          <w:sz w:val="32"/>
          <w:szCs w:val="32"/>
          <w:shd w:val="clear" w:color="auto" w:fill="FFFFFF"/>
        </w:rPr>
        <w:t>按照实际发生组织实施</w:t>
      </w:r>
      <w:r>
        <w:rPr>
          <w:rFonts w:eastAsia="仿宋_GB2312" w:hint="eastAsia"/>
          <w:sz w:val="32"/>
          <w:szCs w:val="32"/>
          <w:shd w:val="clear" w:color="auto" w:fill="FFFFFF"/>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2.项目绩效目标。</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（1）</w:t>
      </w:r>
      <w:r>
        <w:rPr>
          <w:rFonts w:eastAsia="仿宋_GB2312"/>
          <w:b/>
          <w:bCs/>
          <w:color w:val="auto"/>
          <w:kern w:val="0"/>
          <w:sz w:val="32"/>
          <w:szCs w:val="32"/>
        </w:rPr>
        <w:t>项目主要内容。</w:t>
      </w:r>
    </w:p>
    <w:p>
      <w:pPr>
        <w:widowControl/>
        <w:adjustRightInd w:val="0"/>
        <w:snapToGrid w:val="0"/>
        <w:spacing w:line="353" w:lineRule="auto"/>
        <w:ind w:left="0" w:firstLineChars="200" w:firstLine="644"/>
        <w:textAlignment w:val="baseline"/>
        <w:rPr>
          <w:rFonts w:eastAsia="方正仿宋_GBK"/>
          <w:spacing w:val="-4"/>
          <w:sz w:val="33"/>
          <w:szCs w:val="33"/>
        </w:rPr>
      </w:pPr>
      <w:r>
        <w:rPr>
          <w:rFonts w:eastAsia="方正仿宋_GBK"/>
          <w:spacing w:val="-4"/>
          <w:sz w:val="33"/>
          <w:szCs w:val="33"/>
        </w:rPr>
        <w:t>积极搭建政银企对接平台，组织召开2021年度全市金融工作暨政银企对接会议，推介重点项目</w:t>
      </w:r>
      <w:r>
        <w:rPr>
          <w:rFonts w:eastAsia="方正仿宋_GBK" w:hint="eastAsia"/>
          <w:spacing w:val="-4"/>
          <w:sz w:val="33"/>
          <w:szCs w:val="33"/>
          <w:lang w:eastAsia="zh-CN"/>
        </w:rPr>
        <w:t>，</w:t>
      </w:r>
      <w:r>
        <w:rPr>
          <w:rFonts w:eastAsia="方正仿宋_GBK" w:hint="eastAsia"/>
          <w:spacing w:val="-4"/>
          <w:sz w:val="33"/>
          <w:szCs w:val="33"/>
        </w:rPr>
        <w:t>签订“十四五”战略合作协议，为未来我市重大项目建设、产业体系构建、城市功能提升以及绿色低碳发展等领域注入金融支持动能。</w:t>
      </w:r>
      <w:r>
        <w:rPr>
          <w:rFonts w:eastAsia="方正仿宋_GBK"/>
          <w:spacing w:val="-4"/>
          <w:sz w:val="33"/>
          <w:szCs w:val="33"/>
        </w:rPr>
        <w:t>组织召开省级融资担保公司业务对接会，鼓励省级融资担保公司来攀展业。</w:t>
      </w:r>
    </w:p>
    <w:p>
      <w:pPr>
        <w:autoSpaceDE w:val="0"/>
        <w:autoSpaceDN w:val="0"/>
        <w:adjustRightInd w:val="0"/>
        <w:snapToGrid w:val="0"/>
        <w:spacing w:line="353" w:lineRule="auto"/>
        <w:ind w:firstLineChars="200" w:firstLine="640"/>
        <w:jc w:val="left"/>
        <w:rPr>
          <w:rFonts w:eastAsia="仿宋_GB2312"/>
          <w:color w:val="auto"/>
          <w:kern w:val="0"/>
          <w:sz w:val="32"/>
          <w:szCs w:val="32"/>
        </w:rPr>
      </w:pPr>
      <w:r>
        <w:rPr>
          <w:rFonts w:eastAsia="仿宋_GB2312" w:hint="eastAsia"/>
          <w:b/>
          <w:bCs/>
          <w:color w:val="auto"/>
          <w:kern w:val="0"/>
          <w:sz w:val="32"/>
          <w:szCs w:val="32"/>
        </w:rPr>
        <w:t>（2）</w:t>
      </w:r>
      <w:r>
        <w:rPr>
          <w:rFonts w:eastAsia="仿宋_GB2312"/>
          <w:b/>
          <w:bCs/>
          <w:color w:val="auto"/>
          <w:kern w:val="0"/>
          <w:sz w:val="32"/>
          <w:szCs w:val="32"/>
        </w:rPr>
        <w:t>项目应实现的具体绩效目标，包括目标的量化、细化情况以及项目实施进度计划等。</w:t>
      </w:r>
    </w:p>
    <w:p>
      <w:pPr>
        <w:adjustRightInd w:val="0"/>
        <w:snapToGrid w:val="0"/>
        <w:spacing w:line="353" w:lineRule="auto"/>
        <w:ind w:firstLineChars="200" w:firstLine="640"/>
        <w:rPr>
          <w:rFonts w:ascii="Times New Roman" w:eastAsia="仿宋_GB2312" w:hAnsi="Times New Roman" w:hint="eastAsia"/>
          <w:sz w:val="32"/>
          <w:szCs w:val="32"/>
          <w:shd w:val="clear" w:color="auto" w:fill="FFFFFF"/>
        </w:rPr>
      </w:pPr>
      <w:r>
        <w:rPr>
          <w:rFonts w:ascii="Times New Roman" w:eastAsia="仿宋_GB2312" w:hAnsi="Times New Roman"/>
          <w:sz w:val="32"/>
          <w:szCs w:val="32"/>
          <w:shd w:val="clear" w:color="auto" w:fill="FFFFFF"/>
        </w:rPr>
        <w:t>推动市政府与省级银行签订合作协议；组织召开银企对接会，加大对重点项目的信贷支持力度；对接省级融资担保公司来攀展业</w:t>
      </w:r>
      <w:r>
        <w:rPr>
          <w:rFonts w:ascii="Times New Roman" w:eastAsia="仿宋_GB2312" w:hAnsi="Times New Roman" w:hint="eastAsia"/>
          <w:sz w:val="32"/>
          <w:szCs w:val="32"/>
          <w:shd w:val="clear" w:color="auto" w:fill="FFFFFF"/>
        </w:rPr>
        <w:t>。</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（3）</w:t>
      </w:r>
      <w:r>
        <w:rPr>
          <w:rFonts w:eastAsia="仿宋_GB2312"/>
          <w:b/>
          <w:bCs/>
          <w:color w:val="auto"/>
          <w:kern w:val="0"/>
          <w:sz w:val="32"/>
          <w:szCs w:val="32"/>
        </w:rPr>
        <w:t>申报内容是否与实际相符，申报目标是合理可行。</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申报内容与实际相符，</w:t>
      </w:r>
      <w:r>
        <w:rPr>
          <w:rFonts w:ascii="Times New Roman" w:eastAsia="仿宋_GB2312" w:hAnsi="Times New Roman"/>
          <w:kern w:val="0"/>
          <w:sz w:val="32"/>
          <w:szCs w:val="32"/>
        </w:rPr>
        <w:t>绩效指标制定科学合理</w:t>
      </w:r>
      <w:r>
        <w:rPr>
          <w:rFonts w:ascii="Times New Roman" w:eastAsia="仿宋_GB2312" w:hAnsi="Times New Roman" w:hint="eastAsia"/>
          <w:kern w:val="0"/>
          <w:sz w:val="32"/>
          <w:szCs w:val="32"/>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rPr>
          <w:rFonts w:eastAsia="仿宋_GB2312" w:hint="eastAsia"/>
          <w:kern w:val="0"/>
          <w:sz w:val="32"/>
          <w:szCs w:val="32"/>
        </w:rPr>
      </w:pPr>
      <w:r>
        <w:rPr>
          <w:rFonts w:eastAsia="仿宋_GB2312" w:hint="eastAsia"/>
          <w:kern w:val="0"/>
          <w:sz w:val="32"/>
          <w:szCs w:val="32"/>
        </w:rPr>
        <w:t>2021年4月</w:t>
      </w:r>
      <w:r>
        <w:rPr>
          <w:rFonts w:eastAsia="仿宋_GB2312" w:cs="仿宋" w:hint="eastAsia"/>
          <w:bCs/>
          <w:kern w:val="0"/>
          <w:sz w:val="32"/>
          <w:szCs w:val="32"/>
          <w:lang w:bidi="ar-SA"/>
        </w:rPr>
        <w:t>追加20万元</w:t>
      </w:r>
      <w:r>
        <w:rPr>
          <w:rFonts w:eastAsia="仿宋_GB2312" w:cs="仿宋"/>
          <w:bCs/>
          <w:kern w:val="0"/>
          <w:sz w:val="32"/>
          <w:szCs w:val="32"/>
          <w:lang w:bidi="ar-SA"/>
        </w:rPr>
        <w:t>，2021年12月追减0.31万元</w:t>
      </w:r>
      <w:r>
        <w:rPr>
          <w:rFonts w:eastAsia="仿宋_GB2312" w:cs="仿宋" w:hint="eastAsia"/>
          <w:bCs/>
          <w:kern w:val="0"/>
          <w:sz w:val="32"/>
          <w:szCs w:val="32"/>
          <w:lang w:bidi="ar-SA"/>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（1）资金计划。</w:t>
      </w:r>
    </w:p>
    <w:p>
      <w:pPr>
        <w:autoSpaceDE w:val="0"/>
        <w:autoSpaceDN w:val="0"/>
        <w:adjustRightInd w:val="0"/>
        <w:snapToGrid w:val="0"/>
        <w:spacing w:line="353" w:lineRule="auto"/>
        <w:ind w:firstLineChars="200" w:firstLine="640"/>
        <w:rPr>
          <w:rFonts w:eastAsia="仿宋_GB2312" w:cs="仿宋" w:hint="eastAsia"/>
          <w:bCs/>
          <w:kern w:val="0"/>
          <w:sz w:val="32"/>
          <w:szCs w:val="32"/>
          <w:lang w:bidi="ar-SA"/>
        </w:rPr>
      </w:pPr>
      <w:r>
        <w:rPr>
          <w:rFonts w:eastAsia="仿宋_GB2312" w:cs="仿宋" w:hint="eastAsia"/>
          <w:bCs/>
          <w:kern w:val="0"/>
          <w:sz w:val="32"/>
          <w:szCs w:val="32"/>
          <w:lang w:bidi="ar-SA"/>
        </w:rPr>
        <w:t>财政资金</w:t>
      </w:r>
      <w:r>
        <w:rPr>
          <w:rFonts w:eastAsia="仿宋_GB2312" w:cs="仿宋" w:hint="eastAsia"/>
          <w:bCs/>
          <w:kern w:val="0"/>
          <w:sz w:val="32"/>
          <w:szCs w:val="32"/>
          <w:lang w:val="en-US" w:eastAsia="zh-CN" w:bidi="ar-SA"/>
        </w:rPr>
        <w:t>20</w:t>
      </w:r>
      <w:r>
        <w:rPr>
          <w:rFonts w:eastAsia="仿宋_GB2312" w:cs="仿宋" w:hint="eastAsia"/>
          <w:bCs/>
          <w:kern w:val="0"/>
          <w:sz w:val="32"/>
          <w:szCs w:val="32"/>
          <w:lang w:bidi="ar-SA"/>
        </w:rPr>
        <w:t>万元。</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（2）</w:t>
      </w:r>
      <w:r>
        <w:rPr>
          <w:rFonts w:eastAsia="楷体_GB2312"/>
          <w:b/>
          <w:bCs/>
          <w:color w:val="auto"/>
          <w:kern w:val="0"/>
          <w:sz w:val="32"/>
          <w:szCs w:val="32"/>
        </w:rPr>
        <w:t>资金到位。</w:t>
      </w:r>
    </w:p>
    <w:p>
      <w:pPr>
        <w:autoSpaceDE w:val="0"/>
        <w:autoSpaceDN w:val="0"/>
        <w:adjustRightInd w:val="0"/>
        <w:snapToGrid w:val="0"/>
        <w:spacing w:line="353" w:lineRule="auto"/>
        <w:ind w:firstLineChars="200" w:firstLine="640"/>
        <w:jc w:val="left"/>
        <w:rPr>
          <w:rFonts w:eastAsia="仿宋_GB2312" w:cs="仿宋" w:hint="eastAsia"/>
          <w:bCs/>
          <w:kern w:val="0"/>
          <w:sz w:val="32"/>
          <w:szCs w:val="32"/>
          <w:lang w:bidi="ar-SA"/>
        </w:rPr>
      </w:pPr>
      <w:r>
        <w:rPr>
          <w:rFonts w:eastAsia="仿宋_GB2312" w:cs="仿宋" w:hint="eastAsia"/>
          <w:bCs/>
          <w:kern w:val="0"/>
          <w:sz w:val="32"/>
          <w:szCs w:val="32"/>
          <w:lang w:bidi="ar-SA"/>
        </w:rPr>
        <w:t>资金于202</w:t>
      </w:r>
      <w:r>
        <w:rPr>
          <w:rFonts w:eastAsia="仿宋_GB2312" w:cs="仿宋" w:hint="eastAsia"/>
          <w:bCs/>
          <w:kern w:val="0"/>
          <w:sz w:val="32"/>
          <w:szCs w:val="32"/>
          <w:lang w:val="en-US" w:eastAsia="zh-CN" w:bidi="ar-SA"/>
        </w:rPr>
        <w:t>1</w:t>
      </w:r>
      <w:r>
        <w:rPr>
          <w:rFonts w:eastAsia="仿宋_GB2312" w:cs="仿宋" w:hint="eastAsia"/>
          <w:bCs/>
          <w:kern w:val="0"/>
          <w:sz w:val="32"/>
          <w:szCs w:val="32"/>
          <w:lang w:bidi="ar-SA"/>
        </w:rPr>
        <w:t>年</w:t>
      </w:r>
      <w:r>
        <w:rPr>
          <w:rFonts w:eastAsia="仿宋_GB2312" w:cs="仿宋" w:hint="eastAsia"/>
          <w:bCs/>
          <w:kern w:val="0"/>
          <w:sz w:val="32"/>
          <w:szCs w:val="32"/>
          <w:lang w:val="en-US" w:eastAsia="zh-CN" w:bidi="ar-SA"/>
        </w:rPr>
        <w:t>4</w:t>
      </w:r>
      <w:r>
        <w:rPr>
          <w:rFonts w:eastAsia="仿宋_GB2312" w:cs="仿宋" w:hint="eastAsia"/>
          <w:bCs/>
          <w:kern w:val="0"/>
          <w:sz w:val="32"/>
          <w:szCs w:val="32"/>
          <w:lang w:bidi="ar-SA"/>
        </w:rPr>
        <w:t>月</w:t>
      </w:r>
      <w:r>
        <w:rPr>
          <w:rFonts w:eastAsia="仿宋_GB2312" w:cs="仿宋" w:hint="eastAsia"/>
          <w:bCs/>
          <w:kern w:val="0"/>
          <w:sz w:val="32"/>
          <w:szCs w:val="32"/>
          <w:lang w:val="en-US" w:eastAsia="zh-CN" w:bidi="ar-SA"/>
        </w:rPr>
        <w:t>26</w:t>
      </w:r>
      <w:r>
        <w:rPr>
          <w:rFonts w:eastAsia="仿宋_GB2312" w:cs="仿宋" w:hint="eastAsia"/>
          <w:bCs/>
          <w:kern w:val="0"/>
          <w:sz w:val="32"/>
          <w:szCs w:val="32"/>
          <w:lang w:bidi="ar-SA"/>
        </w:rPr>
        <w:t>日到位。</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（3）</w:t>
      </w:r>
      <w:r>
        <w:rPr>
          <w:rFonts w:eastAsia="楷体_GB2312"/>
          <w:b/>
          <w:bCs/>
          <w:color w:val="auto"/>
          <w:kern w:val="0"/>
          <w:sz w:val="32"/>
          <w:szCs w:val="32"/>
        </w:rPr>
        <w:t>资金使用。</w:t>
      </w:r>
    </w:p>
    <w:p>
      <w:pPr>
        <w:autoSpaceDE w:val="0"/>
        <w:autoSpaceDN w:val="0"/>
        <w:adjustRightInd w:val="0"/>
        <w:snapToGrid w:val="0"/>
        <w:spacing w:line="353" w:lineRule="auto"/>
        <w:ind w:firstLineChars="200" w:firstLine="640"/>
        <w:jc w:val="left"/>
        <w:rPr>
          <w:rFonts w:eastAsia="仿宋_GB2312" w:cs="仿宋" w:hint="eastAsia"/>
          <w:bCs/>
          <w:kern w:val="0"/>
          <w:sz w:val="32"/>
          <w:szCs w:val="32"/>
          <w:lang w:val="en-US" w:eastAsia="zh-CN" w:bidi="ar-SA"/>
        </w:rPr>
      </w:pPr>
      <w:r>
        <w:rPr>
          <w:rFonts w:eastAsia="仿宋_GB2312" w:cs="仿宋"/>
          <w:bCs/>
          <w:kern w:val="0"/>
          <w:sz w:val="32"/>
          <w:szCs w:val="32"/>
          <w:lang w:bidi="ar-SA"/>
        </w:rPr>
        <w:t>差旅费、会议费、租赁费、印刷费等费用合计支出</w:t>
      </w:r>
      <w:r>
        <w:rPr>
          <w:rFonts w:eastAsia="仿宋_GB2312" w:cs="仿宋"/>
          <w:bCs/>
          <w:kern w:val="0"/>
          <w:sz w:val="32"/>
          <w:szCs w:val="32"/>
          <w:lang w:val="en-US" w:eastAsia="zh-CN" w:bidi="ar-SA"/>
        </w:rPr>
        <w:t>19.69</w:t>
      </w:r>
      <w:r>
        <w:rPr>
          <w:rFonts w:eastAsia="仿宋_GB2312" w:cs="仿宋" w:hint="eastAsia"/>
          <w:bCs/>
          <w:kern w:val="0"/>
          <w:sz w:val="32"/>
          <w:szCs w:val="32"/>
          <w:lang w:val="en-US" w:eastAsia="zh-CN" w:bidi="ar-SA"/>
        </w:rPr>
        <w:t>万元。</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w:t>
      </w:r>
      <w:r>
        <w:rPr>
          <w:rFonts w:ascii="Times New Roman" w:eastAsia="仿宋_GB2312" w:hAnsi="Times New Roman"/>
          <w:kern w:val="0"/>
          <w:sz w:val="32"/>
          <w:szCs w:val="32"/>
        </w:rPr>
        <w:t>单位财务管理制度健全，严格执行财务管理制度，账务处理及时，会计核算规范。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（三）项目实施及管理情况。</w:t>
      </w:r>
    </w:p>
    <w:p>
      <w:pPr>
        <w:autoSpaceDE w:val="0"/>
        <w:autoSpaceDN w:val="0"/>
        <w:adjustRightInd w:val="0"/>
        <w:snapToGrid w:val="0"/>
        <w:spacing w:line="353" w:lineRule="auto"/>
        <w:ind w:left="0"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根据已制定的目标绩效，按照局机关科室职能职责分别负责，组织落实。</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（四）项目绩效情况。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autoSpaceDE w:val="0"/>
        <w:autoSpaceDN w:val="0"/>
        <w:adjustRightInd w:val="0"/>
        <w:snapToGrid w:val="0"/>
        <w:spacing w:line="353" w:lineRule="auto"/>
        <w:ind w:firstLineChars="200" w:firstLine="640"/>
        <w:rPr>
          <w:rFonts w:eastAsia="仿宋_GB2312" w:cs="仿宋"/>
          <w:bCs/>
          <w:kern w:val="0"/>
          <w:sz w:val="32"/>
          <w:szCs w:val="32"/>
          <w:lang w:bidi="ar-SA"/>
        </w:rPr>
      </w:pPr>
      <w:r>
        <w:rPr>
          <w:rFonts w:eastAsia="仿宋_GB2312" w:cs="仿宋"/>
          <w:bCs/>
          <w:kern w:val="0"/>
          <w:sz w:val="32"/>
          <w:szCs w:val="32"/>
          <w:lang w:val="en-US" w:eastAsia="zh-CN" w:bidi="ar-SA"/>
        </w:rPr>
        <w:t>一是</w:t>
      </w:r>
      <w:r>
        <w:rPr>
          <w:rFonts w:eastAsia="仿宋_GB2312" w:cs="仿宋"/>
          <w:bCs/>
          <w:kern w:val="0"/>
          <w:sz w:val="32"/>
          <w:szCs w:val="32"/>
          <w:lang w:bidi="ar-SA"/>
        </w:rPr>
        <w:t>积极搭建政银企对接平台，</w:t>
      </w:r>
      <w:r>
        <w:rPr>
          <w:rFonts w:eastAsia="仿宋_GB2312" w:cs="仿宋" w:hint="eastAsia"/>
          <w:bCs/>
          <w:kern w:val="0"/>
          <w:sz w:val="32"/>
          <w:szCs w:val="32"/>
          <w:lang w:eastAsia="zh-CN" w:bidi="ar-SA"/>
        </w:rPr>
        <w:t>持续深化</w:t>
      </w:r>
      <w:r>
        <w:rPr>
          <w:rFonts w:eastAsia="仿宋_GB2312" w:cs="仿宋" w:hint="eastAsia"/>
          <w:bCs/>
          <w:kern w:val="0"/>
          <w:sz w:val="32"/>
          <w:szCs w:val="32"/>
          <w:lang w:bidi="ar-SA"/>
        </w:rPr>
        <w:t>政银</w:t>
      </w:r>
      <w:r>
        <w:rPr>
          <w:rFonts w:eastAsia="仿宋_GB2312" w:cs="仿宋" w:hint="eastAsia"/>
          <w:bCs/>
          <w:kern w:val="0"/>
          <w:sz w:val="32"/>
          <w:szCs w:val="32"/>
          <w:lang w:eastAsia="zh-CN" w:bidi="ar-SA"/>
        </w:rPr>
        <w:t>合作</w:t>
      </w:r>
      <w:r>
        <w:rPr>
          <w:rFonts w:eastAsia="仿宋_GB2312" w:cs="仿宋" w:hint="eastAsia"/>
          <w:bCs/>
          <w:kern w:val="0"/>
          <w:sz w:val="32"/>
          <w:szCs w:val="32"/>
          <w:lang w:bidi="ar-SA"/>
        </w:rPr>
        <w:t>，召开2021年度全</w:t>
      </w:r>
      <w:r>
        <w:rPr>
          <w:rFonts w:eastAsia="仿宋_GB2312" w:cs="仿宋" w:hint="eastAsia"/>
          <w:bCs/>
          <w:kern w:val="0"/>
          <w:sz w:val="32"/>
          <w:szCs w:val="32"/>
          <w:lang w:val="en-US" w:eastAsia="zh-CN" w:bidi="ar-SA"/>
        </w:rPr>
        <w:t>市金融工作暨政银企对接会，推介重点项目43个，其中14个重大项目获得银行授信216.33亿元；与10家银行机构签订“十四五”战略合作协议，涵盖</w:t>
      </w:r>
      <w:r>
        <w:rPr>
          <w:rFonts w:eastAsia="仿宋_GB2312" w:cs="仿宋" w:hint="eastAsia"/>
          <w:bCs/>
          <w:kern w:val="0"/>
          <w:sz w:val="32"/>
          <w:szCs w:val="32"/>
          <w:lang w:bidi="ar-SA"/>
        </w:rPr>
        <w:t>重大项目90个，总投资2,005亿元，意向融资1,308亿元。二是</w:t>
      </w:r>
      <w:r>
        <w:rPr>
          <w:rFonts w:eastAsia="仿宋_GB2312" w:cs="仿宋"/>
          <w:bCs/>
          <w:kern w:val="0"/>
          <w:sz w:val="32"/>
          <w:szCs w:val="32"/>
          <w:lang w:bidi="ar-SA"/>
        </w:rPr>
        <w:t>组织召开6家省级融资担保公司业务对接会，促成省农担攀枝花分公司在攀设立分公司，成都中小担、省信用再担保公司来攀展业。</w:t>
      </w:r>
    </w:p>
    <w:p>
      <w:pPr>
        <w:autoSpaceDE w:val="0"/>
        <w:autoSpaceDN w:val="0"/>
        <w:adjustRightInd w:val="0"/>
        <w:snapToGrid w:val="0"/>
        <w:spacing w:line="353" w:lineRule="auto"/>
        <w:ind w:firstLineChars="200" w:firstLine="624"/>
        <w:jc w:val="left"/>
        <w:rPr>
          <w:rFonts w:ascii="仿宋_GB2312" w:eastAsia="仿宋_GB2312" w:cs="仿宋_GB2312"/>
          <w:b/>
          <w:color w:val="auto"/>
          <w:kern w:val="0"/>
          <w:sz w:val="32"/>
          <w:szCs w:val="32"/>
        </w:rPr>
      </w:pPr>
      <w:r>
        <w:rPr>
          <w:rFonts w:ascii="仿宋_GB2312" w:eastAsia="仿宋_GB2312" w:cs="仿宋_GB2312" w:hint="eastAsia"/>
          <w:b/>
          <w:color w:val="auto"/>
          <w:spacing w:val="-4"/>
          <w:sz w:val="32"/>
          <w:szCs w:val="32"/>
        </w:rPr>
        <w:t>2.</w:t>
      </w:r>
      <w:r>
        <w:rPr>
          <w:rFonts w:ascii="仿宋_GB2312" w:eastAsia="仿宋_GB2312" w:cs="仿宋_GB2312" w:hint="eastAsia"/>
          <w:b/>
          <w:color w:val="auto"/>
          <w:kern w:val="0"/>
          <w:sz w:val="32"/>
          <w:szCs w:val="32"/>
        </w:rPr>
        <w:t>项目效益情况。</w:t>
      </w:r>
    </w:p>
    <w:p>
      <w:pPr>
        <w:adjustRightInd w:val="0"/>
        <w:snapToGrid w:val="0"/>
        <w:spacing w:line="353" w:lineRule="auto"/>
        <w:ind w:firstLineChars="200" w:firstLine="640"/>
        <w:rPr>
          <w:rFonts w:eastAsia="仿宋_GB2312" w:cs="仿宋" w:hint="eastAsia"/>
          <w:bCs/>
          <w:kern w:val="0"/>
          <w:sz w:val="32"/>
          <w:szCs w:val="32"/>
          <w:lang w:bidi="ar-SA"/>
        </w:rPr>
      </w:pPr>
      <w:r>
        <w:rPr>
          <w:rFonts w:eastAsia="仿宋_GB2312" w:cs="仿宋" w:hint="eastAsia"/>
          <w:bCs/>
          <w:kern w:val="0"/>
          <w:sz w:val="32"/>
          <w:szCs w:val="32"/>
          <w:lang w:bidi="ar-SA"/>
        </w:rPr>
        <w:t>增强了省级银行对我市重点项目、重点行业、重点领域的信贷支持力度；丰富了地方金融业态；进一步解决了企业、项目融资难问题，为全市经济社会高质量发展提供了金融支撑。</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（五）评价结论及建议。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firstLineChars="200" w:firstLine="640"/>
        <w:rPr>
          <w:rFonts w:eastAsia="仿宋_GB2312" w:cs="仿宋" w:hint="eastAsia"/>
          <w:bCs/>
          <w:kern w:val="0"/>
          <w:sz w:val="32"/>
          <w:szCs w:val="32"/>
          <w:lang w:bidi="ar-SA"/>
        </w:rPr>
      </w:pPr>
      <w:r>
        <w:rPr>
          <w:rFonts w:eastAsia="仿宋_GB2312" w:cs="仿宋"/>
          <w:bCs/>
          <w:kern w:val="0"/>
          <w:sz w:val="32"/>
          <w:szCs w:val="32"/>
          <w:lang w:bidi="ar-SA"/>
        </w:rPr>
        <w:t>项目实施对今后一段时期内全市重点</w:t>
      </w:r>
      <w:r>
        <w:rPr>
          <w:rFonts w:eastAsia="仿宋_GB2312" w:cs="仿宋" w:hint="eastAsia"/>
          <w:bCs/>
          <w:kern w:val="0"/>
          <w:sz w:val="32"/>
          <w:szCs w:val="32"/>
          <w:lang w:bidi="ar-SA"/>
        </w:rPr>
        <w:t>重点项目、重点行业、重点领域</w:t>
      </w:r>
      <w:r>
        <w:rPr>
          <w:rFonts w:eastAsia="仿宋_GB2312" w:cs="仿宋"/>
          <w:bCs/>
          <w:kern w:val="0"/>
          <w:sz w:val="32"/>
          <w:szCs w:val="32"/>
          <w:lang w:bidi="ar-SA"/>
        </w:rPr>
        <w:t>获得更多信贷支持提供了渠道和平台；地方金融金融业态的丰富也对企业、项目融资提供补充和融资增信</w:t>
      </w:r>
      <w:r>
        <w:rPr>
          <w:rFonts w:eastAsia="仿宋_GB2312" w:cs="仿宋" w:hint="eastAsia"/>
          <w:bCs/>
          <w:kern w:val="0"/>
          <w:sz w:val="32"/>
          <w:szCs w:val="32"/>
          <w:lang w:bidi="ar-SA"/>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2.存在的问题。</w:t>
      </w:r>
    </w:p>
    <w:p>
      <w:pPr>
        <w:autoSpaceDE w:val="0"/>
        <w:autoSpaceDN w:val="0"/>
        <w:adjustRightInd w:val="0"/>
        <w:snapToGrid w:val="0"/>
        <w:spacing w:line="353" w:lineRule="auto"/>
        <w:ind w:firstLineChars="200" w:firstLine="644"/>
        <w:rPr>
          <w:rFonts w:ascii="仿宋_GB2312" w:eastAsia="仿宋_GB2312" w:hint="eastAsia"/>
          <w:spacing w:val="-4"/>
          <w:sz w:val="33"/>
          <w:szCs w:val="33"/>
          <w:lang w:eastAsia="zh-CN"/>
        </w:rPr>
      </w:pPr>
      <w:r>
        <w:rPr>
          <w:rFonts w:ascii="仿宋_GB2312" w:eastAsia="仿宋_GB2312" w:hint="eastAsia"/>
          <w:spacing w:val="-4"/>
          <w:sz w:val="33"/>
          <w:szCs w:val="33"/>
        </w:rPr>
        <w:t>金融生态环境有待优化</w:t>
      </w:r>
      <w:r>
        <w:rPr>
          <w:rFonts w:ascii="仿宋_GB2312" w:eastAsia="仿宋_GB2312" w:hint="eastAsia"/>
          <w:spacing w:val="-4"/>
          <w:sz w:val="33"/>
          <w:szCs w:val="33"/>
          <w:lang w:eastAsia="zh-CN"/>
        </w:rPr>
        <w:t>，</w:t>
      </w:r>
      <w:r>
        <w:rPr>
          <w:rFonts w:ascii="仿宋_GB2312" w:eastAsia="仿宋_GB2312" w:hint="eastAsia"/>
          <w:spacing w:val="-4"/>
          <w:sz w:val="33"/>
          <w:szCs w:val="33"/>
        </w:rPr>
        <w:t>融资结构有待优化</w:t>
      </w:r>
      <w:r>
        <w:rPr>
          <w:rFonts w:ascii="仿宋_GB2312" w:eastAsia="仿宋_GB2312" w:hint="eastAsia"/>
          <w:spacing w:val="-4"/>
          <w:sz w:val="33"/>
          <w:szCs w:val="33"/>
          <w:lang w:eastAsia="zh-CN"/>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3.相关建议。</w:t>
      </w:r>
    </w:p>
    <w:p>
      <w:pPr>
        <w:adjustRightInd w:val="0"/>
        <w:snapToGrid w:val="0"/>
        <w:spacing w:line="353" w:lineRule="auto"/>
        <w:ind w:left="0" w:firstLineChars="200" w:firstLine="640"/>
        <w:rPr>
          <w:rFonts w:eastAsia="仿宋_GB2312" w:hint="eastAsia"/>
          <w:sz w:val="32"/>
          <w:szCs w:val="32"/>
          <w:shd w:val="clear" w:color="auto" w:fill="FFFFFF"/>
        </w:rPr>
      </w:pPr>
      <w:r>
        <w:rPr>
          <w:rFonts w:eastAsia="仿宋_GB2312" w:hint="eastAsia"/>
          <w:sz w:val="32"/>
          <w:szCs w:val="32"/>
          <w:shd w:val="clear" w:color="auto" w:fill="FFFFFF"/>
        </w:rPr>
        <w:t>加强与省级地方金融组织的合作，争取有实力的地方金融组织来攀设立分支机构或展业。推进企业信用体系建设，强化信用信息披露，严厉打击恶意逃废金融企业债务行为，加大金融案件执行力度，提高金融案件审结率、执结率和标的额兑现率，力争金融生态环境评价排名提升进位。加大对小微企业、科创企业的信贷支持力度；争取招商引资项目融资在当地。</w:t>
      </w:r>
    </w:p>
    <w:p>
      <w:pPr>
        <w:autoSpaceDE w:val="0"/>
        <w:autoSpaceDN w:val="0"/>
        <w:adjustRightInd w:val="0"/>
        <w:snapToGrid w:val="0"/>
        <w:spacing w:line="353" w:lineRule="auto"/>
        <w:ind w:firstLineChars="200" w:firstLine="640"/>
        <w:jc w:val="left"/>
        <w:rPr>
          <w:rFonts w:ascii="黑体" w:eastAsia="黑体" w:cs="黑体" w:hint="eastAsia"/>
          <w:color w:val="auto"/>
          <w:sz w:val="32"/>
          <w:szCs w:val="32"/>
        </w:rPr>
      </w:pPr>
      <w:r>
        <w:rPr>
          <w:rFonts w:ascii="黑体" w:eastAsia="黑体" w:cs="黑体" w:hint="eastAsia"/>
          <w:color w:val="auto"/>
          <w:sz w:val="32"/>
          <w:szCs w:val="32"/>
          <w:lang w:val="en-US" w:eastAsia="zh-CN"/>
        </w:rPr>
        <w:t>四</w:t>
      </w:r>
      <w:r>
        <w:rPr>
          <w:rFonts w:ascii="黑体" w:eastAsia="黑体" w:cs="黑体" w:hint="eastAsia"/>
          <w:color w:val="auto"/>
          <w:sz w:val="32"/>
          <w:szCs w:val="32"/>
        </w:rPr>
        <w:t>、</w:t>
      </w:r>
      <w:r>
        <w:rPr>
          <w:rFonts w:ascii="黑体" w:eastAsia="黑体" w:cs="黑体" w:hint="eastAsia"/>
          <w:color w:val="auto"/>
          <w:sz w:val="32"/>
          <w:szCs w:val="32"/>
          <w:lang w:val="en-US" w:eastAsia="zh-CN"/>
        </w:rPr>
        <w:t>公务接待费</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djustRightInd w:val="0"/>
        <w:snapToGrid w:val="0"/>
        <w:spacing w:line="353" w:lineRule="auto"/>
        <w:ind w:left="0"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hint="eastAsia"/>
          <w:sz w:val="32"/>
          <w:szCs w:val="32"/>
          <w:shd w:val="clear" w:color="auto" w:fill="FFFFFF"/>
          <w:lang w:val="en-US" w:eastAsia="zh-CN"/>
        </w:rPr>
        <w:t>金融工作局作为市政府</w:t>
      </w:r>
      <w:r>
        <w:rPr>
          <w:rFonts w:ascii="Times New Roman" w:eastAsia="仿宋_GB2312" w:hAnsi="Times New Roman"/>
          <w:sz w:val="32"/>
          <w:szCs w:val="32"/>
          <w:shd w:val="clear" w:color="auto" w:fill="FFFFFF"/>
          <w:lang w:val="en-US" w:eastAsia="zh-CN"/>
        </w:rPr>
        <w:t>组成</w:t>
      </w:r>
      <w:r>
        <w:rPr>
          <w:rFonts w:ascii="Times New Roman" w:eastAsia="仿宋_GB2312" w:hAnsi="Times New Roman" w:hint="eastAsia"/>
          <w:sz w:val="32"/>
          <w:szCs w:val="32"/>
          <w:shd w:val="clear" w:color="auto" w:fill="FFFFFF"/>
          <w:lang w:val="en-US" w:eastAsia="zh-CN"/>
        </w:rPr>
        <w:t>部门，</w:t>
      </w:r>
      <w:r>
        <w:rPr>
          <w:rFonts w:ascii="Times New Roman" w:eastAsia="仿宋_GB2312" w:hAnsi="Times New Roman"/>
          <w:sz w:val="32"/>
          <w:szCs w:val="32"/>
          <w:shd w:val="clear" w:color="auto" w:fill="FFFFFF"/>
          <w:lang w:val="en-US" w:eastAsia="zh-CN"/>
        </w:rPr>
        <w:t>负责金融领域相关工作，需开展和承接针对金融活动、金融业务的相关</w:t>
      </w:r>
      <w:r>
        <w:rPr>
          <w:rFonts w:ascii="Times New Roman" w:eastAsia="仿宋_GB2312" w:hAnsi="Times New Roman" w:hint="eastAsia"/>
          <w:sz w:val="32"/>
          <w:szCs w:val="32"/>
          <w:shd w:val="clear" w:color="auto" w:fill="FFFFFF"/>
          <w:lang w:val="en-US" w:eastAsia="zh-CN"/>
        </w:rPr>
        <w:t>考察调研、学习交流、检查指导、请示汇报等公务活动和有公函的来访人员。</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2.项目绩效目标。</w:t>
      </w:r>
    </w:p>
    <w:p>
      <w:pPr>
        <w:adjustRightInd w:val="0"/>
        <w:snapToGrid w:val="0"/>
        <w:spacing w:line="353" w:lineRule="auto"/>
        <w:ind w:left="0"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sz w:val="32"/>
          <w:szCs w:val="32"/>
          <w:shd w:val="clear" w:color="auto" w:fill="FFFFFF"/>
          <w:lang w:val="en-US" w:eastAsia="zh-CN"/>
        </w:rPr>
        <w:t>承接针对金融活动、金融业务的相关</w:t>
      </w:r>
      <w:r>
        <w:rPr>
          <w:rFonts w:ascii="Times New Roman" w:eastAsia="仿宋_GB2312" w:hAnsi="Times New Roman" w:hint="eastAsia"/>
          <w:sz w:val="32"/>
          <w:szCs w:val="32"/>
          <w:shd w:val="clear" w:color="auto" w:fill="FFFFFF"/>
          <w:lang w:val="en-US" w:eastAsia="zh-CN"/>
        </w:rPr>
        <w:t>考察调研、学习交流、检查指导、请示汇报等公务活动和有公函的来访人员。</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jc w:val="left"/>
        <w:rPr>
          <w:rFonts w:ascii="仿宋_GB2312" w:eastAsia="仿宋_GB2312"/>
          <w:color w:val="auto"/>
          <w:kern w:val="0"/>
          <w:sz w:val="32"/>
          <w:szCs w:val="32"/>
        </w:rPr>
      </w:pPr>
      <w:r>
        <w:rPr>
          <w:rFonts w:eastAsia="仿宋_GB2312" w:cs="仿宋" w:hint="eastAsia"/>
          <w:bCs/>
          <w:kern w:val="0"/>
          <w:sz w:val="32"/>
          <w:szCs w:val="32"/>
          <w:lang w:bidi="ar-SA"/>
        </w:rPr>
        <w:t>2021年5月追加0.6万元</w:t>
      </w:r>
      <w:r>
        <w:rPr>
          <w:rFonts w:eastAsia="仿宋_GB2312" w:cs="仿宋"/>
          <w:bCs/>
          <w:kern w:val="0"/>
          <w:sz w:val="32"/>
          <w:szCs w:val="32"/>
          <w:lang w:bidi="ar-SA"/>
        </w:rPr>
        <w:t>，2021年12月追减0.17万元</w:t>
      </w:r>
      <w:r>
        <w:rPr>
          <w:rFonts w:eastAsia="仿宋_GB2312" w:cs="仿宋" w:hint="eastAsia"/>
          <w:bCs/>
          <w:kern w:val="0"/>
          <w:sz w:val="32"/>
          <w:szCs w:val="32"/>
          <w:lang w:bidi="ar-SA"/>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rPr>
          <w:rFonts w:eastAsia="仿宋_GB2312" w:hint="eastAsia"/>
          <w:kern w:val="0"/>
          <w:sz w:val="32"/>
          <w:szCs w:val="32"/>
          <w:lang w:val="en-US" w:eastAsia="zh-CN"/>
        </w:rPr>
      </w:pPr>
      <w:r>
        <w:rPr>
          <w:rFonts w:eastAsia="仿宋_GB2312" w:hint="eastAsia"/>
          <w:kern w:val="0"/>
          <w:sz w:val="32"/>
          <w:szCs w:val="32"/>
        </w:rPr>
        <w:t>2021年5月财政局划拨资金0.6万元。202</w:t>
      </w:r>
      <w:r>
        <w:rPr>
          <w:rFonts w:eastAsia="仿宋_GB2312" w:hint="eastAsia"/>
          <w:kern w:val="0"/>
          <w:sz w:val="32"/>
          <w:szCs w:val="32"/>
          <w:lang w:val="en-US" w:eastAsia="zh-CN"/>
        </w:rPr>
        <w:t>1</w:t>
      </w:r>
      <w:r>
        <w:rPr>
          <w:rFonts w:eastAsia="仿宋_GB2312" w:hint="eastAsia"/>
          <w:kern w:val="0"/>
          <w:sz w:val="32"/>
          <w:szCs w:val="32"/>
        </w:rPr>
        <w:t>年</w:t>
      </w:r>
      <w:r>
        <w:rPr>
          <w:rFonts w:eastAsia="仿宋_GB2312" w:hint="eastAsia"/>
          <w:kern w:val="0"/>
          <w:sz w:val="32"/>
          <w:szCs w:val="32"/>
          <w:lang w:val="en-US" w:eastAsia="zh-CN"/>
        </w:rPr>
        <w:t>9</w:t>
      </w:r>
      <w:r>
        <w:rPr>
          <w:rFonts w:eastAsia="仿宋_GB2312" w:hint="eastAsia"/>
          <w:kern w:val="0"/>
          <w:sz w:val="32"/>
          <w:szCs w:val="32"/>
        </w:rPr>
        <w:t>月</w:t>
      </w:r>
      <w:r>
        <w:rPr>
          <w:rFonts w:eastAsia="仿宋_GB2312" w:hint="eastAsia"/>
          <w:kern w:val="0"/>
          <w:sz w:val="32"/>
          <w:szCs w:val="32"/>
          <w:lang w:val="en-US" w:eastAsia="zh-CN"/>
        </w:rPr>
        <w:t>支付公务接待费0.23万元，2021年11月支付公务接待费0.2万元，合计0.43万元。</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w:t>
      </w:r>
      <w:r>
        <w:rPr>
          <w:rFonts w:ascii="Times New Roman" w:eastAsia="仿宋_GB2312" w:hAnsi="Times New Roman"/>
          <w:kern w:val="0"/>
          <w:sz w:val="32"/>
          <w:szCs w:val="32"/>
        </w:rPr>
        <w:t>单位财务管理制度健全，严格执行财务管理制度，账务处理及时，会计核算规范。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autoSpaceDE w:val="0"/>
        <w:autoSpaceDN w:val="0"/>
        <w:adjustRightInd w:val="0"/>
        <w:snapToGrid w:val="0"/>
        <w:spacing w:line="353" w:lineRule="auto"/>
        <w:ind w:left="0" w:firstLineChars="200" w:firstLine="640"/>
        <w:rPr>
          <w:rFonts w:ascii="Times New Roman" w:eastAsia="仿宋_GB2312" w:hAnsi="Times New Roman" w:hint="eastAsia"/>
          <w:kern w:val="0"/>
          <w:sz w:val="32"/>
          <w:szCs w:val="32"/>
          <w:lang w:val="en-US" w:eastAsia="zh-CN"/>
        </w:rPr>
      </w:pPr>
      <w:r>
        <w:rPr>
          <w:rFonts w:ascii="Times New Roman" w:eastAsia="仿宋_GB2312" w:hAnsi="Times New Roman" w:hint="eastAsia"/>
          <w:kern w:val="0"/>
          <w:sz w:val="32"/>
          <w:szCs w:val="32"/>
          <w:lang w:val="en-US" w:eastAsia="zh-CN"/>
        </w:rPr>
        <w:t>公务接待费接待2批次人员</w:t>
      </w:r>
      <w:r>
        <w:rPr>
          <w:rFonts w:ascii="Times New Roman" w:eastAsia="仿宋_GB2312" w:hAnsi="Times New Roman"/>
          <w:kern w:val="0"/>
          <w:sz w:val="32"/>
          <w:szCs w:val="32"/>
          <w:lang w:val="en-US" w:eastAsia="zh-CN"/>
        </w:rPr>
        <w:t>，</w:t>
      </w:r>
      <w:r>
        <w:rPr>
          <w:rFonts w:ascii="Times New Roman" w:eastAsia="仿宋_GB2312" w:hAnsi="Times New Roman" w:hint="eastAsia"/>
          <w:kern w:val="0"/>
          <w:sz w:val="32"/>
          <w:szCs w:val="32"/>
          <w:lang w:val="en-US" w:eastAsia="zh-CN"/>
        </w:rPr>
        <w:t>按规定进行报销。</w:t>
      </w:r>
    </w:p>
    <w:p>
      <w:pPr>
        <w:autoSpaceDE w:val="0"/>
        <w:autoSpaceDN w:val="0"/>
        <w:adjustRightInd w:val="0"/>
        <w:snapToGrid w:val="0"/>
        <w:spacing w:line="353" w:lineRule="auto"/>
        <w:ind w:firstLineChars="200" w:firstLine="640"/>
        <w:rPr>
          <w:rFonts w:ascii="楷体" w:eastAsia="楷体" w:hint="eastAsia"/>
          <w:kern w:val="0"/>
          <w:sz w:val="32"/>
          <w:szCs w:val="32"/>
        </w:rPr>
      </w:pPr>
      <w:r>
        <w:rPr>
          <w:rFonts w:ascii="楷体" w:eastAsia="楷体" w:hint="eastAsia"/>
          <w:kern w:val="0"/>
          <w:sz w:val="32"/>
          <w:szCs w:val="32"/>
          <w:lang w:val="en-US" w:eastAsia="zh-CN"/>
        </w:rPr>
        <w:t>2.</w:t>
      </w:r>
      <w:r>
        <w:rPr>
          <w:rFonts w:ascii="楷体" w:eastAsia="楷体" w:hint="eastAsia"/>
          <w:kern w:val="0"/>
          <w:sz w:val="32"/>
          <w:szCs w:val="32"/>
        </w:rPr>
        <w:t>项目效益情况。</w:t>
      </w:r>
    </w:p>
    <w:p>
      <w:pPr>
        <w:autoSpaceDE w:val="0"/>
        <w:autoSpaceDN w:val="0"/>
        <w:adjustRightInd w:val="0"/>
        <w:snapToGrid w:val="0"/>
        <w:spacing w:line="353" w:lineRule="auto"/>
        <w:ind w:left="0" w:firstLineChars="200" w:firstLine="640"/>
        <w:rPr>
          <w:rFonts w:eastAsia="仿宋_GB2312" w:hint="eastAsia"/>
          <w:kern w:val="0"/>
          <w:sz w:val="32"/>
          <w:szCs w:val="32"/>
        </w:rPr>
      </w:pPr>
      <w:r>
        <w:rPr>
          <w:rFonts w:ascii="Times New Roman" w:eastAsia="仿宋_GB2312" w:hAnsi="Times New Roman"/>
          <w:kern w:val="0"/>
          <w:sz w:val="32"/>
          <w:szCs w:val="32"/>
          <w:lang w:val="en-US" w:eastAsia="zh-CN"/>
        </w:rPr>
        <w:t>提升了金融工作效率，促进了金融业务交流学习。</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w:t>
      </w:r>
      <w:r>
        <w:rPr>
          <w:rFonts w:ascii="楷体" w:eastAsia="楷体" w:cs="楷体"/>
          <w:color w:val="auto"/>
          <w:kern w:val="0"/>
          <w:sz w:val="32"/>
          <w:szCs w:val="32"/>
        </w:rPr>
        <w:t>四</w:t>
      </w:r>
      <w:r>
        <w:rPr>
          <w:rFonts w:ascii="楷体" w:eastAsia="楷体" w:cs="楷体" w:hint="eastAsia"/>
          <w:color w:val="auto"/>
          <w:kern w:val="0"/>
          <w:sz w:val="32"/>
          <w:szCs w:val="32"/>
        </w:rPr>
        <w:t>）评价结论及建议。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left="0" w:firstLineChars="200" w:firstLine="640"/>
        <w:rPr>
          <w:rFonts w:ascii="Times New Roman" w:eastAsia="仿宋_GB2312" w:hAnsi="Times New Roman" w:hint="eastAsia"/>
          <w:sz w:val="32"/>
          <w:szCs w:val="32"/>
          <w:shd w:val="clear" w:color="auto" w:fill="FFFFFF"/>
          <w:lang w:val="en-US" w:eastAsia="zh-CN"/>
        </w:rPr>
      </w:pPr>
      <w:r>
        <w:rPr>
          <w:rFonts w:ascii="Times New Roman" w:eastAsia="仿宋_GB2312" w:hAnsi="Times New Roman"/>
          <w:kern w:val="0"/>
          <w:sz w:val="32"/>
          <w:szCs w:val="32"/>
          <w:lang w:val="en-US" w:eastAsia="zh-CN"/>
        </w:rPr>
        <w:t>项目执行体现了机关后勤服务保障能力，提升了机关办事效率</w:t>
      </w:r>
      <w:r>
        <w:rPr>
          <w:rFonts w:ascii="Times New Roman" w:eastAsia="仿宋_GB2312" w:hAnsi="Times New Roman" w:hint="eastAsia"/>
          <w:kern w:val="0"/>
          <w:sz w:val="32"/>
          <w:szCs w:val="32"/>
          <w:lang w:val="en-US" w:eastAsia="zh-CN"/>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2.存在的问题。</w:t>
      </w:r>
    </w:p>
    <w:p>
      <w:pPr>
        <w:autoSpaceDE w:val="0"/>
        <w:autoSpaceDN w:val="0"/>
        <w:adjustRightInd w:val="0"/>
        <w:snapToGrid w:val="0"/>
        <w:spacing w:line="353" w:lineRule="auto"/>
        <w:ind w:firstLineChars="200" w:firstLine="640"/>
        <w:jc w:val="left"/>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无</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3.相关建议。</w:t>
      </w:r>
    </w:p>
    <w:p>
      <w:pPr>
        <w:autoSpaceDE w:val="0"/>
        <w:autoSpaceDN w:val="0"/>
        <w:adjustRightInd w:val="0"/>
        <w:snapToGrid w:val="0"/>
        <w:spacing w:line="353" w:lineRule="auto"/>
        <w:ind w:firstLineChars="200" w:firstLine="640"/>
        <w:jc w:val="left"/>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无</w:t>
      </w:r>
    </w:p>
    <w:p>
      <w:pPr>
        <w:autoSpaceDE w:val="0"/>
        <w:autoSpaceDN w:val="0"/>
        <w:adjustRightInd w:val="0"/>
        <w:snapToGrid w:val="0"/>
        <w:spacing w:line="353" w:lineRule="auto"/>
        <w:ind w:firstLineChars="200" w:firstLine="640"/>
        <w:jc w:val="left"/>
        <w:rPr>
          <w:rFonts w:ascii="黑体" w:eastAsia="黑体" w:cs="黑体"/>
          <w:color w:val="auto"/>
          <w:sz w:val="32"/>
          <w:szCs w:val="32"/>
        </w:rPr>
      </w:pPr>
      <w:r>
        <w:rPr>
          <w:rFonts w:ascii="黑体" w:eastAsia="黑体" w:cs="黑体" w:hint="eastAsia"/>
          <w:color w:val="auto"/>
          <w:sz w:val="32"/>
          <w:szCs w:val="32"/>
          <w:lang w:val="en-US" w:eastAsia="zh-CN"/>
        </w:rPr>
        <w:t>五</w:t>
      </w:r>
      <w:r>
        <w:rPr>
          <w:rFonts w:ascii="黑体" w:eastAsia="黑体" w:cs="黑体" w:hint="eastAsia"/>
          <w:color w:val="auto"/>
          <w:sz w:val="32"/>
          <w:szCs w:val="32"/>
        </w:rPr>
        <w:t>、关工委经费</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utoSpaceDE w:val="0"/>
        <w:autoSpaceDN w:val="0"/>
        <w:adjustRightInd w:val="0"/>
        <w:snapToGrid w:val="0"/>
        <w:spacing w:line="353" w:lineRule="auto"/>
        <w:ind w:firstLineChars="200" w:firstLine="640"/>
        <w:rPr>
          <w:rFonts w:eastAsia="仿宋_GB2312"/>
          <w:kern w:val="0"/>
          <w:sz w:val="32"/>
          <w:szCs w:val="32"/>
        </w:rPr>
      </w:pPr>
      <w:r>
        <w:rPr>
          <w:rFonts w:eastAsia="仿宋_GB2312" w:hint="eastAsia"/>
          <w:kern w:val="0"/>
          <w:sz w:val="32"/>
          <w:szCs w:val="32"/>
        </w:rPr>
        <w:t>2020年2月26日成立攀枝花市金融工作局关心下一代工作委员会</w:t>
      </w:r>
      <w:r>
        <w:rPr>
          <w:rFonts w:eastAsia="仿宋_GB2312"/>
          <w:kern w:val="0"/>
          <w:sz w:val="32"/>
          <w:szCs w:val="32"/>
        </w:rPr>
        <w:t>，开展局关心下一代相关工作</w:t>
      </w:r>
      <w:r>
        <w:rPr>
          <w:rFonts w:eastAsia="仿宋_GB2312" w:hint="eastAsia"/>
          <w:kern w:val="0"/>
          <w:sz w:val="32"/>
          <w:szCs w:val="32"/>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2.项目绩效目标。</w:t>
      </w:r>
    </w:p>
    <w:p>
      <w:pPr>
        <w:adjustRightInd w:val="0"/>
        <w:snapToGrid w:val="0"/>
        <w:spacing w:line="353" w:lineRule="auto"/>
        <w:ind w:left="0"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sz w:val="32"/>
          <w:szCs w:val="32"/>
          <w:shd w:val="clear" w:color="auto" w:fill="FFFFFF"/>
          <w:lang w:val="en-US" w:eastAsia="zh-CN"/>
        </w:rPr>
        <w:t>按要求开展局关工委相关工作</w:t>
      </w:r>
      <w:r>
        <w:rPr>
          <w:rFonts w:ascii="Times New Roman" w:eastAsia="仿宋_GB2312" w:hAnsi="Times New Roman" w:hint="eastAsia"/>
          <w:sz w:val="32"/>
          <w:szCs w:val="32"/>
          <w:shd w:val="clear" w:color="auto" w:fill="FFFFFF"/>
          <w:lang w:val="en-US" w:eastAsia="zh-CN"/>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rPr>
          <w:rFonts w:eastAsia="仿宋_GB2312" w:hint="eastAsia"/>
          <w:spacing w:val="-4"/>
          <w:sz w:val="32"/>
          <w:szCs w:val="32"/>
        </w:rPr>
      </w:pPr>
      <w:r>
        <w:rPr>
          <w:rFonts w:eastAsia="仿宋_GB2312" w:cs="仿宋"/>
          <w:bCs/>
          <w:sz w:val="32"/>
          <w:szCs w:val="32"/>
          <w:lang w:bidi="ar-SA"/>
        </w:rPr>
        <w:t>根据《攀枝花市财政局关于下达2021年市级单位关工委经费的通知》（攀财行〔202</w:t>
      </w:r>
      <w:r>
        <w:rPr>
          <w:rFonts w:eastAsia="仿宋_GB2312" w:cs="仿宋"/>
          <w:bCs/>
          <w:sz w:val="32"/>
          <w:szCs w:val="32"/>
          <w:lang w:val="en-US" w:eastAsia="zh-CN" w:bidi="ar-SA"/>
        </w:rPr>
        <w:t>1</w:t>
      </w:r>
      <w:r>
        <w:rPr>
          <w:rFonts w:eastAsia="仿宋_GB2312" w:cs="仿宋"/>
          <w:bCs/>
          <w:sz w:val="32"/>
          <w:szCs w:val="32"/>
          <w:lang w:bidi="ar-SA"/>
        </w:rPr>
        <w:t>〕</w:t>
      </w:r>
      <w:r>
        <w:rPr>
          <w:rFonts w:eastAsia="仿宋_GB2312" w:cs="仿宋"/>
          <w:bCs/>
          <w:sz w:val="32"/>
          <w:szCs w:val="32"/>
          <w:lang w:val="en-US" w:eastAsia="zh-CN" w:bidi="ar-SA"/>
        </w:rPr>
        <w:t>40</w:t>
      </w:r>
      <w:r>
        <w:rPr>
          <w:rFonts w:eastAsia="仿宋_GB2312" w:cs="仿宋"/>
          <w:bCs/>
          <w:sz w:val="32"/>
          <w:szCs w:val="32"/>
          <w:lang w:bidi="ar-SA"/>
        </w:rPr>
        <w:t>号），</w:t>
      </w:r>
      <w:r>
        <w:rPr>
          <w:rFonts w:eastAsia="仿宋_GB2312" w:hint="eastAsia"/>
          <w:spacing w:val="-4"/>
          <w:sz w:val="32"/>
          <w:szCs w:val="32"/>
        </w:rPr>
        <w:t>财政局划拨资金0.</w:t>
      </w:r>
      <w:r>
        <w:rPr>
          <w:rFonts w:eastAsia="仿宋_GB2312" w:hint="eastAsia"/>
          <w:spacing w:val="-4"/>
          <w:sz w:val="32"/>
          <w:szCs w:val="32"/>
          <w:lang w:val="en-US" w:eastAsia="zh-CN"/>
        </w:rPr>
        <w:t>5</w:t>
      </w:r>
      <w:r>
        <w:rPr>
          <w:rFonts w:eastAsia="仿宋_GB2312" w:hint="eastAsia"/>
          <w:spacing w:val="-4"/>
          <w:sz w:val="32"/>
          <w:szCs w:val="32"/>
        </w:rPr>
        <w:t>万元</w:t>
      </w:r>
      <w:r>
        <w:rPr>
          <w:rFonts w:eastAsia="仿宋_GB2312"/>
          <w:spacing w:val="-4"/>
          <w:sz w:val="32"/>
          <w:szCs w:val="32"/>
        </w:rPr>
        <w:t>，2021年12月追减0.3万元</w:t>
      </w:r>
      <w:r>
        <w:rPr>
          <w:rFonts w:eastAsia="仿宋_GB2312" w:hint="eastAsia"/>
          <w:spacing w:val="-4"/>
          <w:sz w:val="32"/>
          <w:szCs w:val="32"/>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24"/>
        <w:jc w:val="left"/>
        <w:rPr>
          <w:rFonts w:eastAsia="仿宋_GB2312" w:hint="eastAsia"/>
          <w:spacing w:val="-4"/>
          <w:sz w:val="32"/>
          <w:szCs w:val="32"/>
        </w:rPr>
      </w:pPr>
      <w:r>
        <w:rPr>
          <w:rFonts w:eastAsia="仿宋_GB2312" w:hint="eastAsia"/>
          <w:spacing w:val="-4"/>
          <w:sz w:val="32"/>
          <w:szCs w:val="32"/>
        </w:rPr>
        <w:t>2021年6月财政局划拨资金0.5万元</w:t>
      </w:r>
      <w:r>
        <w:rPr>
          <w:rFonts w:eastAsia="仿宋_GB2312"/>
          <w:spacing w:val="-4"/>
          <w:sz w:val="32"/>
          <w:szCs w:val="32"/>
        </w:rPr>
        <w:t>，2021年12月追减0.3万元</w:t>
      </w:r>
      <w:r>
        <w:rPr>
          <w:rFonts w:eastAsia="仿宋_GB2312" w:hint="eastAsia"/>
          <w:spacing w:val="-4"/>
          <w:sz w:val="32"/>
          <w:szCs w:val="32"/>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ascii="仿宋_GB2312" w:eastAsia="仿宋_GB2312" w:hint="eastAsia"/>
          <w:kern w:val="0"/>
          <w:sz w:val="32"/>
          <w:szCs w:val="32"/>
        </w:rPr>
      </w:pPr>
      <w:r>
        <w:rPr>
          <w:rFonts w:ascii="仿宋_GB2312" w:eastAsia="仿宋_GB2312" w:hint="eastAsia"/>
          <w:kern w:val="0"/>
          <w:sz w:val="32"/>
          <w:szCs w:val="32"/>
        </w:rPr>
        <w:t>本单位财务管理制度健全，严格执行财务管理制度，账务处理及时，会计核算规范。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autoSpaceDE w:val="0"/>
        <w:autoSpaceDN w:val="0"/>
        <w:adjustRightInd w:val="0"/>
        <w:snapToGrid w:val="0"/>
        <w:spacing w:line="353" w:lineRule="auto"/>
        <w:ind w:left="0" w:firstLineChars="200" w:firstLine="624"/>
        <w:rPr>
          <w:rFonts w:eastAsia="仿宋_GB2312" w:hint="eastAsia"/>
          <w:spacing w:val="-4"/>
          <w:sz w:val="32"/>
          <w:szCs w:val="32"/>
          <w:lang w:eastAsia="zh-CN"/>
        </w:rPr>
      </w:pPr>
      <w:r>
        <w:rPr>
          <w:rFonts w:eastAsia="仿宋_GB2312" w:hint="eastAsia"/>
          <w:spacing w:val="-4"/>
          <w:sz w:val="32"/>
          <w:szCs w:val="32"/>
        </w:rPr>
        <w:t>202</w:t>
      </w:r>
      <w:r>
        <w:rPr>
          <w:rFonts w:eastAsia="仿宋_GB2312" w:hint="eastAsia"/>
          <w:spacing w:val="-4"/>
          <w:sz w:val="32"/>
          <w:szCs w:val="32"/>
          <w:lang w:val="en-US" w:eastAsia="zh-CN"/>
        </w:rPr>
        <w:t>1</w:t>
      </w:r>
      <w:r>
        <w:rPr>
          <w:rFonts w:eastAsia="仿宋_GB2312" w:hint="eastAsia"/>
          <w:spacing w:val="-4"/>
          <w:sz w:val="32"/>
          <w:szCs w:val="32"/>
        </w:rPr>
        <w:t>年“六一”儿童节为我局青少年儿童购买书籍；8月20日</w:t>
      </w:r>
      <w:r>
        <w:rPr>
          <w:rFonts w:eastAsia="仿宋_GB2312" w:hint="eastAsia"/>
          <w:spacing w:val="-4"/>
          <w:sz w:val="32"/>
          <w:szCs w:val="32"/>
          <w:lang w:eastAsia="zh-CN"/>
        </w:rPr>
        <w:t>部分</w:t>
      </w:r>
      <w:r>
        <w:rPr>
          <w:rFonts w:eastAsia="仿宋_GB2312" w:hint="eastAsia"/>
          <w:spacing w:val="-4"/>
          <w:sz w:val="32"/>
          <w:szCs w:val="32"/>
        </w:rPr>
        <w:t>职工子女参观了“百年辉煌 三线荣光”——攀枝花市庆祝中国共产党成立100周年主题展览</w:t>
      </w:r>
      <w:r>
        <w:rPr>
          <w:rFonts w:eastAsia="仿宋_GB2312"/>
          <w:spacing w:val="-4"/>
          <w:sz w:val="32"/>
          <w:szCs w:val="32"/>
        </w:rPr>
        <w:t>；组织职工子女</w:t>
      </w:r>
      <w:r>
        <w:rPr>
          <w:rFonts w:eastAsia="仿宋_GB2312" w:hint="eastAsia"/>
          <w:spacing w:val="-4"/>
          <w:sz w:val="32"/>
          <w:szCs w:val="32"/>
        </w:rPr>
        <w:t>观看了根据新冠肺炎疫情防控斗争的真实事件改编</w:t>
      </w:r>
      <w:r>
        <w:rPr>
          <w:rFonts w:eastAsia="仿宋_GB2312" w:hint="eastAsia"/>
          <w:spacing w:val="-4"/>
          <w:sz w:val="32"/>
          <w:szCs w:val="32"/>
          <w:lang w:eastAsia="zh-CN"/>
        </w:rPr>
        <w:t>的</w:t>
      </w:r>
      <w:r>
        <w:rPr>
          <w:rFonts w:eastAsia="仿宋_GB2312" w:hint="eastAsia"/>
          <w:spacing w:val="-4"/>
          <w:sz w:val="32"/>
          <w:szCs w:val="32"/>
        </w:rPr>
        <w:t>爱国主义影片《中国医生》</w:t>
      </w:r>
      <w:r>
        <w:rPr>
          <w:rFonts w:eastAsia="仿宋_GB2312" w:hint="eastAsia"/>
          <w:spacing w:val="-4"/>
          <w:sz w:val="32"/>
          <w:szCs w:val="32"/>
          <w:lang w:eastAsia="zh-CN"/>
        </w:rPr>
        <w:t>。</w:t>
      </w:r>
    </w:p>
    <w:p>
      <w:pPr>
        <w:autoSpaceDE w:val="0"/>
        <w:autoSpaceDN w:val="0"/>
        <w:adjustRightInd w:val="0"/>
        <w:snapToGrid w:val="0"/>
        <w:spacing w:line="353" w:lineRule="auto"/>
        <w:ind w:leftChars="200" w:left="420" w:firstLineChars="100" w:firstLine="320"/>
        <w:rPr>
          <w:rFonts w:ascii="仿宋_GB2312" w:eastAsia="仿宋_GB2312" w:cs="仿宋_GB2312" w:hint="eastAsia"/>
          <w:b/>
          <w:bCs/>
          <w:color w:val="auto"/>
          <w:kern w:val="0"/>
          <w:sz w:val="32"/>
          <w:szCs w:val="32"/>
        </w:rPr>
      </w:pPr>
      <w:r>
        <w:rPr>
          <w:rFonts w:ascii="仿宋_GB2312" w:eastAsia="仿宋_GB2312" w:cs="仿宋_GB2312" w:hint="eastAsia"/>
          <w:b/>
          <w:bCs/>
          <w:color w:val="auto"/>
          <w:kern w:val="0"/>
          <w:sz w:val="32"/>
          <w:szCs w:val="32"/>
          <w:lang w:val="en-US" w:eastAsia="zh-CN"/>
        </w:rPr>
        <w:t>2.</w:t>
      </w:r>
      <w:r>
        <w:rPr>
          <w:rFonts w:ascii="仿宋_GB2312" w:eastAsia="仿宋_GB2312" w:cs="仿宋_GB2312" w:hint="eastAsia"/>
          <w:b/>
          <w:bCs/>
          <w:color w:val="auto"/>
          <w:kern w:val="0"/>
          <w:sz w:val="32"/>
          <w:szCs w:val="32"/>
        </w:rPr>
        <w:t>项目效益情况。</w:t>
      </w:r>
    </w:p>
    <w:p>
      <w:pPr>
        <w:autoSpaceDE w:val="0"/>
        <w:autoSpaceDN w:val="0"/>
        <w:adjustRightInd w:val="0"/>
        <w:snapToGrid w:val="0"/>
        <w:spacing w:line="353" w:lineRule="auto"/>
        <w:ind w:left="0" w:firstLineChars="200" w:firstLine="640"/>
        <w:rPr>
          <w:rFonts w:eastAsia="仿宋_GB2312" w:hint="eastAsia"/>
          <w:kern w:val="0"/>
          <w:sz w:val="32"/>
          <w:szCs w:val="32"/>
        </w:rPr>
      </w:pPr>
      <w:r>
        <w:rPr>
          <w:rFonts w:ascii="Times New Roman" w:eastAsia="仿宋_GB2312" w:hAnsi="Times New Roman"/>
          <w:kern w:val="0"/>
          <w:sz w:val="32"/>
          <w:szCs w:val="32"/>
          <w:lang w:val="en-US" w:eastAsia="zh-CN"/>
        </w:rPr>
        <w:t>激发了青少年爱国热情，增强了青少年学习知识、建设祖国的动力。</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w:t>
      </w:r>
      <w:r>
        <w:rPr>
          <w:rFonts w:ascii="楷体" w:eastAsia="楷体" w:cs="楷体"/>
          <w:color w:val="auto"/>
          <w:kern w:val="0"/>
          <w:sz w:val="32"/>
          <w:szCs w:val="32"/>
        </w:rPr>
        <w:t>四</w:t>
      </w:r>
      <w:r>
        <w:rPr>
          <w:rFonts w:ascii="楷体" w:eastAsia="楷体" w:cs="楷体" w:hint="eastAsia"/>
          <w:color w:val="auto"/>
          <w:kern w:val="0"/>
          <w:sz w:val="32"/>
          <w:szCs w:val="32"/>
        </w:rPr>
        <w:t>）评价结论及建议。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left="0" w:firstLineChars="200" w:firstLine="640"/>
        <w:rPr>
          <w:rFonts w:ascii="Times New Roman" w:eastAsia="仿宋_GB2312" w:hAnsi="Times New Roman" w:hint="eastAsia"/>
          <w:sz w:val="32"/>
          <w:szCs w:val="32"/>
          <w:shd w:val="clear" w:color="auto" w:fill="FFFFFF"/>
          <w:lang w:val="en-US" w:eastAsia="zh-CN"/>
        </w:rPr>
      </w:pPr>
      <w:r>
        <w:rPr>
          <w:rFonts w:ascii="Times New Roman" w:eastAsia="仿宋_GB2312" w:hAnsi="Times New Roman"/>
          <w:kern w:val="0"/>
          <w:sz w:val="32"/>
          <w:szCs w:val="32"/>
          <w:lang w:val="en-US" w:eastAsia="zh-CN"/>
        </w:rPr>
        <w:t>项目实施提升了局关工委关心、教育、培养青少年的能力</w:t>
      </w:r>
      <w:r>
        <w:rPr>
          <w:rFonts w:ascii="Times New Roman" w:eastAsia="仿宋_GB2312" w:hAnsi="Times New Roman" w:hint="eastAsia"/>
          <w:kern w:val="0"/>
          <w:sz w:val="32"/>
          <w:szCs w:val="32"/>
          <w:lang w:val="en-US" w:eastAsia="zh-CN"/>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2.存在的问题。</w:t>
      </w:r>
    </w:p>
    <w:p>
      <w:pPr>
        <w:autoSpaceDE w:val="0"/>
        <w:autoSpaceDN w:val="0"/>
        <w:adjustRightInd w:val="0"/>
        <w:snapToGrid w:val="0"/>
        <w:spacing w:line="353" w:lineRule="auto"/>
        <w:ind w:left="0" w:firstLineChars="200" w:firstLine="624"/>
        <w:rPr>
          <w:rFonts w:ascii="Times New Roman" w:eastAsia="仿宋_GB2312" w:hAnsi="Times New Roman" w:hint="eastAsia"/>
          <w:kern w:val="0"/>
          <w:sz w:val="32"/>
          <w:szCs w:val="32"/>
          <w:lang w:val="en-US" w:eastAsia="zh-CN"/>
        </w:rPr>
      </w:pPr>
      <w:r>
        <w:rPr>
          <w:rFonts w:eastAsia="仿宋_GB2312" w:hint="eastAsia"/>
          <w:spacing w:val="-4"/>
          <w:sz w:val="32"/>
          <w:szCs w:val="32"/>
        </w:rPr>
        <w:t>我单位职工目前1</w:t>
      </w:r>
      <w:r>
        <w:rPr>
          <w:rFonts w:eastAsia="仿宋_GB2312" w:hint="eastAsia"/>
          <w:spacing w:val="-4"/>
          <w:sz w:val="32"/>
          <w:szCs w:val="32"/>
          <w:lang w:val="en-US" w:eastAsia="zh-CN"/>
        </w:rPr>
        <w:t>2</w:t>
      </w:r>
      <w:r>
        <w:rPr>
          <w:rFonts w:eastAsia="仿宋_GB2312" w:hint="eastAsia"/>
          <w:spacing w:val="-4"/>
          <w:sz w:val="32"/>
          <w:szCs w:val="32"/>
        </w:rPr>
        <w:t>人，职工平均年龄</w:t>
      </w:r>
      <w:r>
        <w:rPr>
          <w:rFonts w:eastAsia="仿宋_GB2312" w:hint="eastAsia"/>
          <w:spacing w:val="-4"/>
          <w:sz w:val="32"/>
          <w:szCs w:val="32"/>
          <w:lang w:val="en-US" w:eastAsia="zh-CN"/>
        </w:rPr>
        <w:t>3</w:t>
      </w:r>
      <w:r>
        <w:rPr>
          <w:rFonts w:eastAsia="仿宋_GB2312"/>
          <w:spacing w:val="-4"/>
          <w:sz w:val="32"/>
          <w:szCs w:val="32"/>
          <w:lang w:val="en-US" w:eastAsia="zh-CN"/>
        </w:rPr>
        <w:t>6</w:t>
      </w:r>
      <w:r>
        <w:rPr>
          <w:rFonts w:eastAsia="仿宋_GB2312" w:hint="eastAsia"/>
          <w:spacing w:val="-4"/>
          <w:sz w:val="32"/>
          <w:szCs w:val="32"/>
        </w:rPr>
        <w:t>岁，总体年龄比较年轻，</w:t>
      </w:r>
      <w:r>
        <w:rPr>
          <w:rFonts w:eastAsia="仿宋_GB2312"/>
          <w:spacing w:val="-4"/>
          <w:sz w:val="32"/>
          <w:szCs w:val="32"/>
        </w:rPr>
        <w:t>仅</w:t>
      </w:r>
      <w:r>
        <w:rPr>
          <w:rFonts w:eastAsia="仿宋_GB2312" w:hint="eastAsia"/>
          <w:spacing w:val="-4"/>
          <w:sz w:val="32"/>
          <w:szCs w:val="32"/>
          <w:lang w:val="en-US" w:eastAsia="zh-CN"/>
        </w:rPr>
        <w:t>有1名提前退休的</w:t>
      </w:r>
      <w:r>
        <w:rPr>
          <w:rFonts w:eastAsia="仿宋_GB2312" w:hint="eastAsia"/>
          <w:spacing w:val="-4"/>
          <w:sz w:val="32"/>
          <w:szCs w:val="32"/>
        </w:rPr>
        <w:t>退休人员</w:t>
      </w:r>
      <w:r>
        <w:rPr>
          <w:rFonts w:eastAsia="仿宋_GB2312"/>
          <w:spacing w:val="-4"/>
          <w:sz w:val="32"/>
          <w:szCs w:val="32"/>
        </w:rPr>
        <w:t>，老同志参与局关工委工作有一定困难。</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3.相关建议。</w:t>
      </w:r>
    </w:p>
    <w:p>
      <w:pPr>
        <w:pStyle w:val="17"/>
        <w:adjustRightInd w:val="0"/>
        <w:snapToGrid w:val="0"/>
        <w:spacing w:line="353" w:lineRule="auto"/>
        <w:ind w:left="0" w:firstLineChars="200" w:firstLine="640"/>
        <w:rPr>
          <w:rFonts w:ascii="Times New Roman" w:eastAsia="仿宋_GB2312" w:hAnsi="Times New Roman"/>
          <w:kern w:val="0"/>
          <w:sz w:val="32"/>
          <w:szCs w:val="32"/>
          <w:lang w:val="en-US" w:eastAsia="zh-CN"/>
        </w:rPr>
      </w:pPr>
      <w:r>
        <w:rPr>
          <w:rFonts w:ascii="Times New Roman" w:eastAsia="仿宋_GB2312" w:hAnsi="Times New Roman"/>
          <w:kern w:val="0"/>
          <w:sz w:val="32"/>
          <w:szCs w:val="32"/>
          <w:lang w:val="en-US" w:eastAsia="zh-CN"/>
        </w:rPr>
        <w:t>建议发挥退休干部余热，动员职工父母参与局关工委工作</w:t>
      </w:r>
      <w:r>
        <w:rPr>
          <w:rFonts w:ascii="Times New Roman" w:eastAsia="仿宋_GB2312" w:hAnsi="Times New Roman" w:hint="eastAsia"/>
          <w:kern w:val="0"/>
          <w:sz w:val="32"/>
          <w:szCs w:val="32"/>
          <w:lang w:val="en-US" w:eastAsia="zh-CN"/>
        </w:rPr>
        <w:t xml:space="preserve"> </w:t>
      </w:r>
      <w:r>
        <w:rPr>
          <w:rFonts w:ascii="Times New Roman" w:eastAsia="仿宋_GB2312" w:hAnsi="Times New Roman"/>
          <w:kern w:val="0"/>
          <w:sz w:val="32"/>
          <w:szCs w:val="32"/>
          <w:lang w:val="en-US" w:eastAsia="zh-CN"/>
        </w:rPr>
        <w:t>。</w:t>
      </w:r>
    </w:p>
    <w:p>
      <w:pPr>
        <w:pStyle w:val="15"/>
        <w:adjustRightInd w:val="0"/>
        <w:snapToGrid w:val="0"/>
        <w:spacing w:beforeLines="0" w:before="0" w:line="353" w:lineRule="auto"/>
        <w:ind w:firstLineChars="200" w:firstLine="640"/>
        <w:jc w:val="left"/>
        <w:rPr>
          <w:rFonts w:ascii="黑体" w:eastAsia="黑体" w:cs="黑体"/>
          <w:color w:val="auto"/>
          <w:sz w:val="36"/>
          <w:szCs w:val="36"/>
        </w:rPr>
      </w:pPr>
      <w:r>
        <w:rPr>
          <w:rFonts w:ascii="黑体" w:eastAsia="黑体" w:cs="黑体" w:hint="eastAsia"/>
          <w:color w:val="auto"/>
          <w:sz w:val="32"/>
          <w:szCs w:val="32"/>
          <w:lang w:val="en-US" w:eastAsia="zh-CN"/>
        </w:rPr>
        <w:t>六</w:t>
      </w:r>
      <w:r>
        <w:rPr>
          <w:rFonts w:ascii="黑体" w:eastAsia="黑体" w:cs="黑体" w:hint="eastAsia"/>
          <w:color w:val="auto"/>
          <w:sz w:val="32"/>
          <w:szCs w:val="32"/>
        </w:rPr>
        <w:t>、其他组织事务</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（1）</w:t>
      </w:r>
      <w:r>
        <w:rPr>
          <w:rFonts w:eastAsia="仿宋_GB2312"/>
          <w:b/>
          <w:bCs/>
          <w:color w:val="auto"/>
          <w:kern w:val="0"/>
          <w:sz w:val="32"/>
          <w:szCs w:val="32"/>
        </w:rPr>
        <w:t>说明项目主管部门（单位）在该项目管理中的职能。</w:t>
      </w:r>
    </w:p>
    <w:p>
      <w:pPr>
        <w:autoSpaceDE w:val="0"/>
        <w:autoSpaceDN w:val="0"/>
        <w:adjustRightInd w:val="0"/>
        <w:snapToGrid w:val="0"/>
        <w:spacing w:line="353" w:lineRule="auto"/>
        <w:ind w:firstLineChars="200" w:firstLine="640"/>
        <w:jc w:val="left"/>
        <w:rPr>
          <w:rFonts w:eastAsia="仿宋_GB2312" w:hint="eastAsia"/>
          <w:sz w:val="32"/>
          <w:szCs w:val="32"/>
        </w:rPr>
      </w:pPr>
      <w:r>
        <w:rPr>
          <w:rFonts w:ascii="Times New Roman" w:eastAsia="仿宋_GB2312" w:hAnsi="Times New Roman"/>
          <w:kern w:val="0"/>
          <w:sz w:val="32"/>
          <w:szCs w:val="32"/>
        </w:rPr>
        <w:t>为落实我市关于对口支援木里和脱贫攻坚相关要求，</w:t>
      </w:r>
      <w:r>
        <w:rPr>
          <w:rFonts w:eastAsia="仿宋_GB2312"/>
          <w:sz w:val="32"/>
          <w:szCs w:val="32"/>
        </w:rPr>
        <w:t>2018年，原市政府金融办与原攀商行充分协调，共同选派1名优秀干部开展木里县</w:t>
      </w:r>
      <w:r>
        <w:rPr>
          <w:rFonts w:ascii="Calibri" w:eastAsia="仿宋_GB2312" w:hAnsi="Calibri" w:hint="eastAsia"/>
          <w:sz w:val="32"/>
          <w:szCs w:val="32"/>
        </w:rPr>
        <w:t>李子坪乡黄泥巴村</w:t>
      </w:r>
      <w:r>
        <w:rPr>
          <w:rFonts w:ascii="Calibri" w:eastAsia="仿宋_GB2312" w:hAnsi="Calibri"/>
          <w:sz w:val="32"/>
          <w:szCs w:val="32"/>
        </w:rPr>
        <w:t>驻村帮扶</w:t>
      </w:r>
      <w:r>
        <w:rPr>
          <w:rFonts w:eastAsia="仿宋_GB2312"/>
          <w:sz w:val="32"/>
          <w:szCs w:val="32"/>
        </w:rPr>
        <w:t>工作；2019年，</w:t>
      </w:r>
      <w:r>
        <w:rPr>
          <w:rFonts w:eastAsia="仿宋_GB2312" w:hint="eastAsia"/>
          <w:sz w:val="32"/>
          <w:szCs w:val="32"/>
        </w:rPr>
        <w:t>金融工作局</w:t>
      </w:r>
      <w:r>
        <w:rPr>
          <w:rFonts w:eastAsia="仿宋_GB2312"/>
          <w:sz w:val="32"/>
          <w:szCs w:val="32"/>
        </w:rPr>
        <w:t>选派</w:t>
      </w:r>
      <w:r>
        <w:rPr>
          <w:rFonts w:eastAsia="仿宋_GB2312" w:hint="eastAsia"/>
          <w:sz w:val="32"/>
          <w:szCs w:val="32"/>
        </w:rPr>
        <w:t>1名工作人员</w:t>
      </w:r>
      <w:r>
        <w:rPr>
          <w:rFonts w:eastAsia="仿宋_GB2312"/>
          <w:sz w:val="32"/>
          <w:szCs w:val="32"/>
        </w:rPr>
        <w:t>，开展米易县白坡彝族乡油房村驻村扶贫工作</w:t>
      </w:r>
      <w:r>
        <w:rPr>
          <w:rFonts w:eastAsia="仿宋_GB2312" w:hint="eastAsia"/>
          <w:sz w:val="32"/>
          <w:szCs w:val="32"/>
        </w:rPr>
        <w:t>。</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（2）</w:t>
      </w:r>
      <w:r>
        <w:rPr>
          <w:rFonts w:eastAsia="仿宋_GB2312"/>
          <w:b/>
          <w:bCs/>
          <w:color w:val="auto"/>
          <w:kern w:val="0"/>
          <w:sz w:val="32"/>
          <w:szCs w:val="32"/>
        </w:rPr>
        <w:t>项目立项、资金申报的依据。</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项目立项依据：《中共攀</w:t>
      </w:r>
      <w:r>
        <w:rPr>
          <w:rFonts w:ascii="Times New Roman" w:eastAsia="仿宋_GB2312" w:hAnsi="Times New Roman" w:hint="eastAsia"/>
          <w:kern w:val="0"/>
          <w:sz w:val="32"/>
          <w:szCs w:val="32"/>
          <w:lang w:val="en-US" w:eastAsia="zh-CN"/>
        </w:rPr>
        <w:t>枝花市</w:t>
      </w:r>
      <w:r>
        <w:rPr>
          <w:rFonts w:ascii="Times New Roman" w:eastAsia="仿宋_GB2312" w:hAnsi="Times New Roman"/>
          <w:kern w:val="0"/>
          <w:sz w:val="32"/>
          <w:szCs w:val="32"/>
        </w:rPr>
        <w:t>委组织部关于申请划拨</w:t>
      </w:r>
      <w:r>
        <w:rPr>
          <w:rFonts w:ascii="Times New Roman" w:eastAsia="仿宋_GB2312" w:hAnsi="Times New Roman" w:hint="eastAsia"/>
          <w:kern w:val="0"/>
          <w:sz w:val="32"/>
          <w:szCs w:val="32"/>
        </w:rPr>
        <w:t>202</w:t>
      </w:r>
      <w:r>
        <w:rPr>
          <w:rFonts w:ascii="Times New Roman" w:eastAsia="仿宋_GB2312" w:hAnsi="Times New Roman" w:hint="eastAsia"/>
          <w:kern w:val="0"/>
          <w:sz w:val="32"/>
          <w:szCs w:val="32"/>
          <w:lang w:val="en-US" w:eastAsia="zh-CN"/>
        </w:rPr>
        <w:t>1</w:t>
      </w:r>
      <w:r>
        <w:rPr>
          <w:rFonts w:ascii="Times New Roman" w:eastAsia="仿宋_GB2312" w:hAnsi="Times New Roman" w:hint="eastAsia"/>
          <w:kern w:val="0"/>
          <w:sz w:val="32"/>
          <w:szCs w:val="32"/>
        </w:rPr>
        <w:t>年度挂职干部人才补助经费的函</w:t>
      </w:r>
      <w:r>
        <w:rPr>
          <w:rFonts w:ascii="Times New Roman" w:eastAsia="仿宋_GB2312" w:hAnsi="Times New Roman"/>
          <w:kern w:val="0"/>
          <w:sz w:val="32"/>
          <w:szCs w:val="32"/>
        </w:rPr>
        <w:t>》</w:t>
      </w:r>
      <w:r>
        <w:rPr>
          <w:rFonts w:ascii="Times New Roman" w:eastAsia="仿宋_GB2312" w:hAnsi="Times New Roman" w:hint="eastAsia"/>
          <w:kern w:val="0"/>
          <w:sz w:val="32"/>
          <w:szCs w:val="32"/>
        </w:rPr>
        <w:t>（攀组函</w:t>
      </w:r>
      <w:r>
        <w:rPr>
          <w:rFonts w:eastAsia="仿宋_GB2312"/>
          <w:sz w:val="32"/>
          <w:szCs w:val="32"/>
        </w:rPr>
        <w:t>〔</w:t>
      </w:r>
      <w:r>
        <w:rPr>
          <w:rFonts w:eastAsia="仿宋_GB2312" w:hint="eastAsia"/>
          <w:sz w:val="32"/>
          <w:szCs w:val="32"/>
        </w:rPr>
        <w:t>202</w:t>
      </w:r>
      <w:r>
        <w:rPr>
          <w:rFonts w:eastAsia="仿宋_GB2312" w:hint="eastAsia"/>
          <w:sz w:val="32"/>
          <w:szCs w:val="32"/>
          <w:lang w:val="en-US" w:eastAsia="zh-CN"/>
        </w:rPr>
        <w:t>1</w:t>
      </w:r>
      <w:r>
        <w:rPr>
          <w:rFonts w:eastAsia="仿宋_GB2312"/>
          <w:sz w:val="32"/>
          <w:szCs w:val="32"/>
        </w:rPr>
        <w:t>〕</w:t>
      </w:r>
      <w:r>
        <w:rPr>
          <w:rFonts w:eastAsia="仿宋_GB2312" w:hint="eastAsia"/>
          <w:sz w:val="32"/>
          <w:szCs w:val="32"/>
          <w:lang w:val="en-US" w:eastAsia="zh-CN"/>
        </w:rPr>
        <w:t>6</w:t>
      </w:r>
      <w:r>
        <w:rPr>
          <w:rFonts w:eastAsia="仿宋_GB2312" w:hint="eastAsia"/>
          <w:sz w:val="32"/>
          <w:szCs w:val="32"/>
        </w:rPr>
        <w:t>8</w:t>
      </w:r>
      <w:r>
        <w:rPr>
          <w:rFonts w:eastAsia="仿宋_GB2312"/>
          <w:sz w:val="32"/>
          <w:szCs w:val="32"/>
        </w:rPr>
        <w:t xml:space="preserve"> 号</w:t>
      </w:r>
      <w:r>
        <w:rPr>
          <w:rFonts w:ascii="Times New Roman" w:eastAsia="仿宋_GB2312" w:hAnsi="Times New Roman" w:hint="eastAsia"/>
          <w:kern w:val="0"/>
          <w:sz w:val="32"/>
          <w:szCs w:val="32"/>
        </w:rPr>
        <w:t>）。</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资金申报依据：按照驻村帮扶相关规定据实申报。</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（3）</w:t>
      </w:r>
      <w:r>
        <w:rPr>
          <w:rFonts w:eastAsia="仿宋_GB2312"/>
          <w:b/>
          <w:bCs/>
          <w:color w:val="auto"/>
          <w:kern w:val="0"/>
          <w:sz w:val="32"/>
          <w:szCs w:val="32"/>
        </w:rPr>
        <w:t>资金管理办法制定情况，资金支持具体项目的条件、范围与支持方式概况。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资金分配的原则：根据考勤天数按标准进行发放。</w:t>
      </w:r>
    </w:p>
    <w:p>
      <w:pPr>
        <w:autoSpaceDE w:val="0"/>
        <w:autoSpaceDN w:val="0"/>
        <w:adjustRightInd w:val="0"/>
        <w:snapToGrid w:val="0"/>
        <w:spacing w:line="353" w:lineRule="auto"/>
        <w:ind w:firstLineChars="200" w:firstLine="640"/>
        <w:jc w:val="left"/>
        <w:rPr>
          <w:rFonts w:eastAsia="仿宋_GB2312"/>
          <w:b/>
          <w:bCs/>
          <w:color w:val="auto"/>
          <w:kern w:val="0"/>
          <w:sz w:val="32"/>
          <w:szCs w:val="32"/>
        </w:rPr>
      </w:pPr>
      <w:r>
        <w:rPr>
          <w:rFonts w:eastAsia="仿宋_GB2312" w:hint="eastAsia"/>
          <w:b/>
          <w:bCs/>
          <w:color w:val="auto"/>
          <w:kern w:val="0"/>
          <w:sz w:val="32"/>
          <w:szCs w:val="32"/>
        </w:rPr>
        <w:t>（4）</w:t>
      </w:r>
      <w:r>
        <w:rPr>
          <w:rFonts w:eastAsia="仿宋_GB2312"/>
          <w:b/>
          <w:bCs/>
          <w:color w:val="auto"/>
          <w:kern w:val="0"/>
          <w:sz w:val="32"/>
          <w:szCs w:val="32"/>
        </w:rPr>
        <w:t>资金分配的原则及考虑因素。</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资金分配的原则：根据考勤天数按标准进行发放。</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2.项目绩效目标。</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（1）项目主要内容。</w:t>
      </w:r>
    </w:p>
    <w:p>
      <w:pPr>
        <w:adjustRightInd w:val="0"/>
        <w:snapToGrid w:val="0"/>
        <w:spacing w:line="353" w:lineRule="auto"/>
        <w:ind w:left="0"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sz w:val="32"/>
          <w:szCs w:val="32"/>
          <w:shd w:val="clear" w:color="auto" w:fill="FFFFFF"/>
          <w:lang w:val="en-US" w:eastAsia="zh-CN"/>
        </w:rPr>
        <w:t>完成对口帮扶和结对帮扶各项任务，巩固脱贫攻坚成果，参与乡、村重点工作</w:t>
      </w:r>
      <w:r>
        <w:rPr>
          <w:rFonts w:ascii="Times New Roman" w:eastAsia="仿宋_GB2312" w:hAnsi="Times New Roman" w:hint="eastAsia"/>
          <w:sz w:val="32"/>
          <w:szCs w:val="32"/>
          <w:shd w:val="clear" w:color="auto" w:fill="FFFFFF"/>
          <w:lang w:val="en-US" w:eastAsia="zh-CN"/>
        </w:rPr>
        <w:t>。</w:t>
      </w:r>
    </w:p>
    <w:p>
      <w:pPr>
        <w:adjustRightInd w:val="0"/>
        <w:snapToGrid w:val="0"/>
        <w:spacing w:line="353" w:lineRule="auto"/>
        <w:ind w:firstLineChars="200" w:firstLine="640"/>
        <w:rPr>
          <w:rFonts w:eastAsia="仿宋_GB2312" w:hint="eastAsia"/>
          <w:sz w:val="32"/>
          <w:szCs w:val="32"/>
          <w:shd w:val="clear" w:color="auto" w:fill="FFFFFF"/>
        </w:rPr>
      </w:pPr>
      <w:r>
        <w:rPr>
          <w:rFonts w:eastAsia="仿宋_GB2312"/>
          <w:sz w:val="32"/>
          <w:szCs w:val="32"/>
          <w:shd w:val="clear" w:color="auto" w:fill="FFFFFF"/>
        </w:rPr>
        <w:t>完成对口帮扶和结对帮扶年度目标任务，参与新冠肺炎疫情防控、森林防灭火的治理、防汛减灾等工作</w:t>
      </w:r>
      <w:r>
        <w:rPr>
          <w:rFonts w:eastAsia="仿宋_GB2312" w:hint="eastAsia"/>
          <w:sz w:val="32"/>
          <w:szCs w:val="32"/>
          <w:shd w:val="clear" w:color="auto" w:fill="FFFFFF"/>
        </w:rPr>
        <w:t>。</w:t>
      </w:r>
    </w:p>
    <w:p>
      <w:pPr>
        <w:autoSpaceDE w:val="0"/>
        <w:autoSpaceDN w:val="0"/>
        <w:adjustRightInd w:val="0"/>
        <w:snapToGrid w:val="0"/>
        <w:spacing w:line="353" w:lineRule="auto"/>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申报内容与实际相符，</w:t>
      </w:r>
      <w:r>
        <w:rPr>
          <w:rFonts w:ascii="Times New Roman" w:eastAsia="仿宋_GB2312" w:hAnsi="Times New Roman"/>
          <w:kern w:val="0"/>
          <w:sz w:val="32"/>
          <w:szCs w:val="32"/>
        </w:rPr>
        <w:t>绩效指标制定科学合理</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rPr>
          <w:rFonts w:eastAsia="仿宋_GB2312"/>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年2</w:t>
      </w:r>
      <w:r>
        <w:rPr>
          <w:rFonts w:eastAsia="仿宋_GB2312"/>
          <w:sz w:val="32"/>
          <w:szCs w:val="32"/>
        </w:rPr>
        <w:t>月</w:t>
      </w:r>
      <w:r>
        <w:rPr>
          <w:rFonts w:eastAsia="仿宋_GB2312" w:hint="eastAsia"/>
          <w:sz w:val="32"/>
          <w:szCs w:val="32"/>
        </w:rPr>
        <w:t>预算批复</w:t>
      </w:r>
      <w:r>
        <w:rPr>
          <w:rFonts w:eastAsia="仿宋_GB2312" w:hint="eastAsia"/>
          <w:sz w:val="32"/>
          <w:szCs w:val="32"/>
          <w:lang w:val="en-US" w:eastAsia="zh-CN"/>
        </w:rPr>
        <w:t>2</w:t>
      </w:r>
      <w:r>
        <w:rPr>
          <w:rFonts w:eastAsia="仿宋_GB2312" w:hint="eastAsia"/>
          <w:sz w:val="32"/>
          <w:szCs w:val="32"/>
        </w:rPr>
        <w:t>万元</w:t>
      </w:r>
      <w:r>
        <w:rPr>
          <w:rFonts w:eastAsia="仿宋_GB2312"/>
          <w:sz w:val="32"/>
          <w:szCs w:val="32"/>
        </w:rPr>
        <w:t>，</w:t>
      </w: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年11月追加</w:t>
      </w:r>
      <w:r>
        <w:rPr>
          <w:rFonts w:eastAsia="仿宋_GB2312" w:hint="eastAsia"/>
          <w:sz w:val="32"/>
          <w:szCs w:val="32"/>
          <w:lang w:val="en-US" w:eastAsia="zh-CN"/>
        </w:rPr>
        <w:t>4.85</w:t>
      </w:r>
      <w:r>
        <w:rPr>
          <w:rFonts w:eastAsia="仿宋_GB2312" w:hint="eastAsia"/>
          <w:sz w:val="32"/>
          <w:szCs w:val="32"/>
        </w:rPr>
        <w:t>万元。</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jc w:val="left"/>
        <w:rPr>
          <w:rFonts w:eastAsia="楷体_GB2312"/>
          <w:color w:val="auto"/>
          <w:kern w:val="0"/>
          <w:sz w:val="32"/>
          <w:szCs w:val="32"/>
        </w:rPr>
      </w:pPr>
      <w:r>
        <w:rPr>
          <w:rFonts w:eastAsia="楷体_GB2312" w:hint="eastAsia"/>
          <w:b/>
          <w:bCs/>
          <w:color w:val="auto"/>
          <w:kern w:val="0"/>
          <w:sz w:val="32"/>
          <w:szCs w:val="32"/>
        </w:rPr>
        <w:t>（1）</w:t>
      </w:r>
      <w:r>
        <w:rPr>
          <w:rFonts w:eastAsia="楷体_GB2312"/>
          <w:b/>
          <w:bCs/>
          <w:color w:val="auto"/>
          <w:kern w:val="0"/>
          <w:sz w:val="32"/>
          <w:szCs w:val="32"/>
        </w:rPr>
        <w:t>资金计划。</w:t>
      </w:r>
    </w:p>
    <w:p>
      <w:pPr>
        <w:autoSpaceDE w:val="0"/>
        <w:autoSpaceDN w:val="0"/>
        <w:adjustRightInd w:val="0"/>
        <w:snapToGrid w:val="0"/>
        <w:spacing w:line="353" w:lineRule="auto"/>
        <w:ind w:firstLineChars="200" w:firstLine="640"/>
        <w:rPr>
          <w:rFonts w:eastAsia="仿宋_GB2312" w:hint="eastAsia"/>
          <w:sz w:val="32"/>
          <w:szCs w:val="32"/>
        </w:rPr>
      </w:pPr>
      <w:r>
        <w:rPr>
          <w:rFonts w:eastAsia="仿宋_GB2312" w:hint="eastAsia"/>
          <w:sz w:val="32"/>
          <w:szCs w:val="32"/>
        </w:rPr>
        <w:t>援藏干部经费</w:t>
      </w:r>
      <w:r>
        <w:rPr>
          <w:rFonts w:eastAsia="仿宋_GB2312" w:hint="eastAsia"/>
          <w:sz w:val="32"/>
          <w:szCs w:val="32"/>
          <w:lang w:val="en-US" w:eastAsia="zh-CN"/>
        </w:rPr>
        <w:t>2</w:t>
      </w:r>
      <w:r>
        <w:rPr>
          <w:rFonts w:eastAsia="仿宋_GB2312" w:hint="eastAsia"/>
          <w:sz w:val="32"/>
          <w:szCs w:val="32"/>
        </w:rPr>
        <w:t>万元。</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（2）</w:t>
      </w:r>
      <w:r>
        <w:rPr>
          <w:rFonts w:eastAsia="楷体_GB2312"/>
          <w:b/>
          <w:bCs/>
          <w:color w:val="auto"/>
          <w:kern w:val="0"/>
          <w:sz w:val="32"/>
          <w:szCs w:val="32"/>
        </w:rPr>
        <w:t>资金到位。</w:t>
      </w:r>
    </w:p>
    <w:p>
      <w:pPr>
        <w:autoSpaceDE w:val="0"/>
        <w:autoSpaceDN w:val="0"/>
        <w:adjustRightInd w:val="0"/>
        <w:snapToGrid w:val="0"/>
        <w:spacing w:line="353" w:lineRule="auto"/>
        <w:ind w:firstLineChars="200" w:firstLine="640"/>
        <w:rPr>
          <w:rFonts w:eastAsia="仿宋_GB2312" w:hint="eastAsia"/>
          <w:sz w:val="32"/>
          <w:szCs w:val="32"/>
        </w:rPr>
      </w:pPr>
      <w:r>
        <w:rPr>
          <w:rFonts w:eastAsia="仿宋_GB2312" w:hint="eastAsia"/>
          <w:sz w:val="32"/>
          <w:szCs w:val="32"/>
        </w:rPr>
        <w:t>202</w:t>
      </w:r>
      <w:r>
        <w:rPr>
          <w:rFonts w:eastAsia="仿宋_GB2312" w:hint="eastAsia"/>
          <w:sz w:val="32"/>
          <w:szCs w:val="32"/>
          <w:lang w:val="en-US" w:eastAsia="zh-CN"/>
        </w:rPr>
        <w:t>1</w:t>
      </w:r>
      <w:r>
        <w:rPr>
          <w:rFonts w:eastAsia="仿宋_GB2312" w:hint="eastAsia"/>
          <w:sz w:val="32"/>
          <w:szCs w:val="32"/>
        </w:rPr>
        <w:t>年2月预算批复援藏干部经费</w:t>
      </w:r>
      <w:r>
        <w:rPr>
          <w:rFonts w:eastAsia="仿宋_GB2312" w:hint="eastAsia"/>
          <w:sz w:val="32"/>
          <w:szCs w:val="32"/>
          <w:lang w:val="en-US" w:eastAsia="zh-CN"/>
        </w:rPr>
        <w:t>2</w:t>
      </w:r>
      <w:r>
        <w:rPr>
          <w:rFonts w:eastAsia="仿宋_GB2312" w:hint="eastAsia"/>
          <w:sz w:val="32"/>
          <w:szCs w:val="32"/>
        </w:rPr>
        <w:t>万元，202</w:t>
      </w:r>
      <w:r>
        <w:rPr>
          <w:rFonts w:eastAsia="仿宋_GB2312" w:hint="eastAsia"/>
          <w:sz w:val="32"/>
          <w:szCs w:val="32"/>
          <w:lang w:val="en-US" w:eastAsia="zh-CN"/>
        </w:rPr>
        <w:t>1</w:t>
      </w:r>
      <w:r>
        <w:rPr>
          <w:rFonts w:eastAsia="仿宋_GB2312" w:hint="eastAsia"/>
          <w:sz w:val="32"/>
          <w:szCs w:val="32"/>
        </w:rPr>
        <w:t>年11月挂职干部补助经费</w:t>
      </w:r>
      <w:r>
        <w:rPr>
          <w:rFonts w:eastAsia="仿宋_GB2312" w:hint="eastAsia"/>
          <w:sz w:val="32"/>
          <w:szCs w:val="32"/>
          <w:lang w:val="en-US" w:eastAsia="zh-CN"/>
        </w:rPr>
        <w:t>4.85</w:t>
      </w:r>
      <w:r>
        <w:rPr>
          <w:rFonts w:eastAsia="仿宋_GB2312" w:hint="eastAsia"/>
          <w:sz w:val="32"/>
          <w:szCs w:val="32"/>
        </w:rPr>
        <w:t>万元。</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（3）</w:t>
      </w:r>
      <w:r>
        <w:rPr>
          <w:rFonts w:eastAsia="楷体_GB2312"/>
          <w:b/>
          <w:bCs/>
          <w:color w:val="auto"/>
          <w:kern w:val="0"/>
          <w:sz w:val="32"/>
          <w:szCs w:val="32"/>
        </w:rPr>
        <w:t>资金使用。</w:t>
      </w:r>
    </w:p>
    <w:p>
      <w:pPr>
        <w:autoSpaceDE w:val="0"/>
        <w:autoSpaceDN w:val="0"/>
        <w:adjustRightInd w:val="0"/>
        <w:snapToGrid w:val="0"/>
        <w:spacing w:line="353" w:lineRule="auto"/>
        <w:ind w:firstLineChars="200" w:firstLine="640"/>
        <w:rPr>
          <w:rFonts w:eastAsia="仿宋_GB2312" w:hint="eastAsia"/>
          <w:sz w:val="32"/>
          <w:szCs w:val="32"/>
          <w:lang w:val="en-US" w:eastAsia="zh-CN"/>
        </w:rPr>
      </w:pPr>
      <w:r>
        <w:rPr>
          <w:rFonts w:eastAsia="仿宋_GB2312" w:hint="eastAsia"/>
          <w:sz w:val="32"/>
          <w:szCs w:val="32"/>
        </w:rPr>
        <w:t>包括生活补贴、艰边差、援藏特殊补贴、高海拔岗位补贴、乡镇工作补贴、交通补贴</w:t>
      </w:r>
      <w:r>
        <w:rPr>
          <w:rFonts w:eastAsia="仿宋_GB2312"/>
          <w:sz w:val="32"/>
          <w:szCs w:val="32"/>
        </w:rPr>
        <w:t>等共计</w:t>
      </w:r>
      <w:r>
        <w:rPr>
          <w:rFonts w:eastAsia="仿宋_GB2312" w:hint="eastAsia"/>
          <w:sz w:val="32"/>
          <w:szCs w:val="32"/>
          <w:lang w:val="en-US" w:eastAsia="zh-CN"/>
        </w:rPr>
        <w:t>5.</w:t>
      </w:r>
      <w:r>
        <w:rPr>
          <w:rFonts w:eastAsia="仿宋_GB2312"/>
          <w:sz w:val="32"/>
          <w:szCs w:val="32"/>
          <w:lang w:val="en-US" w:eastAsia="zh-CN"/>
        </w:rPr>
        <w:t>58</w:t>
      </w:r>
      <w:r>
        <w:rPr>
          <w:rFonts w:eastAsia="仿宋_GB2312" w:hint="eastAsia"/>
          <w:sz w:val="32"/>
          <w:szCs w:val="32"/>
        </w:rPr>
        <w:t>万元</w:t>
      </w:r>
      <w:r>
        <w:rPr>
          <w:rFonts w:eastAsia="仿宋_GB2312"/>
          <w:sz w:val="32"/>
          <w:szCs w:val="32"/>
        </w:rPr>
        <w:t>及</w:t>
      </w:r>
      <w:r>
        <w:rPr>
          <w:rFonts w:eastAsia="仿宋_GB2312" w:hint="eastAsia"/>
          <w:sz w:val="32"/>
          <w:szCs w:val="32"/>
        </w:rPr>
        <w:t>驻村工作队员生活补贴、一次性补助</w:t>
      </w:r>
      <w:r>
        <w:rPr>
          <w:rFonts w:eastAsia="仿宋_GB2312"/>
          <w:sz w:val="32"/>
          <w:szCs w:val="32"/>
        </w:rPr>
        <w:t>等</w:t>
      </w:r>
      <w:r>
        <w:rPr>
          <w:rFonts w:eastAsia="仿宋_GB2312" w:hint="eastAsia"/>
          <w:sz w:val="32"/>
          <w:szCs w:val="32"/>
          <w:lang w:val="en-US" w:eastAsia="zh-CN"/>
        </w:rPr>
        <w:t>1.27</w:t>
      </w:r>
      <w:r>
        <w:rPr>
          <w:rFonts w:eastAsia="仿宋_GB2312" w:hint="eastAsia"/>
          <w:sz w:val="32"/>
          <w:szCs w:val="32"/>
        </w:rPr>
        <w:t>万元，</w:t>
      </w:r>
      <w:r>
        <w:rPr>
          <w:rFonts w:eastAsia="仿宋_GB2312" w:hint="eastAsia"/>
          <w:sz w:val="32"/>
          <w:szCs w:val="32"/>
          <w:lang w:val="en-US" w:eastAsia="zh-CN"/>
        </w:rPr>
        <w:t>合计6.85万元。</w:t>
      </w:r>
    </w:p>
    <w:p>
      <w:pPr>
        <w:autoSpaceDE w:val="0"/>
        <w:autoSpaceDN w:val="0"/>
        <w:adjustRightInd w:val="0"/>
        <w:snapToGrid w:val="0"/>
        <w:spacing w:line="353" w:lineRule="auto"/>
        <w:ind w:firstLineChars="200" w:firstLine="640"/>
        <w:jc w:val="left"/>
        <w:rPr>
          <w:rFonts w:eastAsia="楷体_GB2312"/>
          <w:b/>
          <w:bCs/>
          <w:color w:val="auto"/>
          <w:kern w:val="0"/>
          <w:sz w:val="32"/>
          <w:szCs w:val="32"/>
        </w:rPr>
      </w:pPr>
      <w:r>
        <w:rPr>
          <w:rFonts w:eastAsia="楷体_GB2312" w:hint="eastAsia"/>
          <w:b/>
          <w:bCs/>
          <w:color w:val="auto"/>
          <w:kern w:val="0"/>
          <w:sz w:val="32"/>
          <w:szCs w:val="32"/>
        </w:rPr>
        <w:t>3.</w:t>
      </w:r>
      <w:r>
        <w:rPr>
          <w:rFonts w:eastAsia="楷体_GB2312"/>
          <w:b/>
          <w:bCs/>
          <w:color w:val="auto"/>
          <w:kern w:val="0"/>
          <w:sz w:val="32"/>
          <w:szCs w:val="32"/>
        </w:rPr>
        <w:t>项目财务管理情况。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w:t>
      </w:r>
      <w:r>
        <w:rPr>
          <w:rFonts w:ascii="Times New Roman" w:eastAsia="仿宋_GB2312" w:hAnsi="Times New Roman"/>
          <w:kern w:val="0"/>
          <w:sz w:val="32"/>
          <w:szCs w:val="32"/>
        </w:rPr>
        <w:t>项目财务管理制度健全，严格执行财务管理制度，账务处理及时，会计核算规范。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（三）项目实施及管理情况。</w:t>
      </w:r>
    </w:p>
    <w:p>
      <w:pPr>
        <w:autoSpaceDE w:val="0"/>
        <w:autoSpaceDN w:val="0"/>
        <w:adjustRightInd w:val="0"/>
        <w:snapToGrid w:val="0"/>
        <w:spacing w:line="353" w:lineRule="auto"/>
        <w:ind w:firstLineChars="200" w:firstLine="640"/>
        <w:rPr>
          <w:rFonts w:eastAsia="仿宋_GB2312"/>
          <w:sz w:val="32"/>
          <w:szCs w:val="32"/>
        </w:rPr>
      </w:pPr>
      <w:r>
        <w:rPr>
          <w:rFonts w:eastAsia="仿宋_GB2312"/>
          <w:sz w:val="32"/>
          <w:szCs w:val="32"/>
        </w:rPr>
        <w:t>金融系统援藏干部和对口帮扶工作由市金融工作局牵头负责，按照援藏工作相关要求进行管理</w:t>
      </w:r>
      <w:r>
        <w:rPr>
          <w:rFonts w:eastAsia="仿宋_GB2312" w:hint="eastAsia"/>
          <w:sz w:val="32"/>
          <w:szCs w:val="32"/>
        </w:rPr>
        <w:t>。</w:t>
      </w:r>
      <w:r>
        <w:rPr>
          <w:rFonts w:eastAsia="仿宋_GB2312"/>
          <w:sz w:val="32"/>
          <w:szCs w:val="32"/>
        </w:rPr>
        <w:t>结对帮扶干部由市金融工作局选派和管理，相关工作由市金融工作局牵头推动落实。</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（四）项目绩效情况。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widowControl/>
        <w:numPr>
          <w:ilvl w:val="0"/>
          <w:numId w:val="6"/>
        </w:numPr>
        <w:adjustRightInd w:val="0"/>
        <w:snapToGrid w:val="0"/>
        <w:spacing w:line="353" w:lineRule="auto"/>
        <w:ind w:left="0" w:firstLine="643"/>
        <w:rPr>
          <w:rFonts w:eastAsia="仿宋_GB2312"/>
          <w:b/>
          <w:color w:val="auto"/>
          <w:sz w:val="32"/>
          <w:szCs w:val="32"/>
        </w:rPr>
      </w:pPr>
      <w:r>
        <w:rPr>
          <w:rFonts w:eastAsia="仿宋_GB2312" w:hint="eastAsia"/>
          <w:b/>
          <w:color w:val="auto"/>
          <w:sz w:val="32"/>
          <w:szCs w:val="32"/>
        </w:rPr>
        <w:t>援藏工作。</w:t>
      </w:r>
    </w:p>
    <w:p>
      <w:pPr>
        <w:widowControl/>
        <w:adjustRightInd w:val="0"/>
        <w:snapToGrid w:val="0"/>
        <w:spacing w:line="353" w:lineRule="auto"/>
        <w:ind w:firstLine="643"/>
        <w:rPr>
          <w:rFonts w:ascii="Calibri" w:eastAsia="仿宋_GB2312" w:cs="Times New Roman" w:hAnsi="Calibri" w:hint="eastAsia"/>
          <w:sz w:val="32"/>
          <w:szCs w:val="32"/>
          <w:lang w:bidi="ar-SA"/>
        </w:rPr>
      </w:pPr>
      <w:r>
        <w:rPr>
          <w:rFonts w:ascii="Calibri" w:eastAsia="仿宋_GB2312" w:hAnsi="Calibri" w:hint="eastAsia"/>
          <w:sz w:val="32"/>
          <w:szCs w:val="32"/>
        </w:rPr>
        <w:t>完成</w:t>
      </w:r>
      <w:r>
        <w:rPr>
          <w:rFonts w:ascii="Calibri" w:eastAsia="仿宋_GB2312" w:hAnsi="Calibri"/>
          <w:sz w:val="32"/>
          <w:szCs w:val="32"/>
        </w:rPr>
        <w:t>“</w:t>
      </w:r>
      <w:r>
        <w:rPr>
          <w:rFonts w:ascii="Calibri" w:eastAsia="仿宋_GB2312" w:hAnsi="Calibri" w:hint="eastAsia"/>
          <w:sz w:val="32"/>
          <w:szCs w:val="32"/>
        </w:rPr>
        <w:t>五周五园</w:t>
      </w:r>
      <w:r>
        <w:rPr>
          <w:rFonts w:ascii="Calibri" w:eastAsia="仿宋_GB2312" w:hAnsi="Calibri"/>
          <w:sz w:val="32"/>
          <w:szCs w:val="32"/>
        </w:rPr>
        <w:t>”</w:t>
      </w:r>
      <w:r>
        <w:rPr>
          <w:rFonts w:ascii="Calibri" w:eastAsia="仿宋_GB2312" w:hAnsi="Calibri" w:hint="eastAsia"/>
          <w:sz w:val="32"/>
          <w:szCs w:val="32"/>
        </w:rPr>
        <w:t>的清理，10户联保的走访入户，10户联保的责任书签订，李子坪乡黄泥巴村护林防火。</w:t>
      </w:r>
    </w:p>
    <w:p>
      <w:pPr>
        <w:widowControl/>
        <w:numPr>
          <w:ilvl w:val="0"/>
          <w:numId w:val="6"/>
        </w:numPr>
        <w:adjustRightInd w:val="0"/>
        <w:snapToGrid w:val="0"/>
        <w:spacing w:line="353" w:lineRule="auto"/>
        <w:ind w:left="0" w:firstLine="643"/>
        <w:rPr>
          <w:rFonts w:eastAsia="仿宋_GB2312"/>
          <w:b/>
          <w:bCs/>
          <w:color w:val="auto"/>
          <w:sz w:val="32"/>
          <w:szCs w:val="32"/>
        </w:rPr>
      </w:pPr>
      <w:r>
        <w:rPr>
          <w:rFonts w:eastAsia="仿宋_GB2312" w:hint="eastAsia"/>
          <w:b/>
          <w:bCs/>
          <w:color w:val="auto"/>
          <w:sz w:val="32"/>
          <w:szCs w:val="32"/>
        </w:rPr>
        <w:t>驻村工作。</w:t>
      </w:r>
    </w:p>
    <w:p>
      <w:pPr>
        <w:widowControl/>
        <w:adjustRightInd w:val="0"/>
        <w:snapToGrid w:val="0"/>
        <w:spacing w:line="353" w:lineRule="auto"/>
        <w:ind w:firstLine="643"/>
        <w:rPr>
          <w:rFonts w:eastAsia="仿宋_GB2312"/>
          <w:sz w:val="32"/>
          <w:szCs w:val="32"/>
        </w:rPr>
      </w:pPr>
      <w:r>
        <w:rPr>
          <w:rFonts w:eastAsia="仿宋_GB2312"/>
          <w:sz w:val="32"/>
          <w:szCs w:val="32"/>
        </w:rPr>
        <w:t>一是</w:t>
      </w:r>
      <w:r>
        <w:rPr>
          <w:rFonts w:eastAsia="仿宋_GB2312" w:hint="eastAsia"/>
          <w:sz w:val="32"/>
          <w:szCs w:val="32"/>
        </w:rPr>
        <w:t>了解贫困户致贫原因、上学就医、家庭收入等情况，制定帮扶计划，完善帮扶方案，协助帮扶责任人制定帮扶措施。</w:t>
      </w:r>
      <w:r>
        <w:rPr>
          <w:rFonts w:eastAsia="仿宋_GB2312"/>
          <w:sz w:val="32"/>
          <w:szCs w:val="32"/>
        </w:rPr>
        <w:t>二是</w:t>
      </w:r>
      <w:r>
        <w:rPr>
          <w:rFonts w:eastAsia="仿宋_GB2312" w:hint="eastAsia"/>
          <w:sz w:val="32"/>
          <w:szCs w:val="32"/>
        </w:rPr>
        <w:t>对贫困家庭进行动态监控，持续开展精准扶贫，202</w:t>
      </w:r>
      <w:r>
        <w:rPr>
          <w:rFonts w:eastAsia="仿宋_GB2312"/>
          <w:sz w:val="32"/>
          <w:szCs w:val="32"/>
        </w:rPr>
        <w:t>1</w:t>
      </w:r>
      <w:r>
        <w:rPr>
          <w:rFonts w:eastAsia="仿宋_GB2312" w:hint="eastAsia"/>
          <w:sz w:val="32"/>
          <w:szCs w:val="32"/>
        </w:rPr>
        <w:t>年所有建档立卡贫困户及特殊困难户</w:t>
      </w:r>
      <w:r>
        <w:rPr>
          <w:rFonts w:eastAsia="仿宋_GB2312"/>
          <w:sz w:val="32"/>
          <w:szCs w:val="32"/>
        </w:rPr>
        <w:t>无返贫或</w:t>
      </w:r>
      <w:r>
        <w:rPr>
          <w:rFonts w:eastAsia="仿宋_GB2312" w:hint="eastAsia"/>
          <w:sz w:val="32"/>
          <w:szCs w:val="32"/>
        </w:rPr>
        <w:t>“两不愁三保障”“一超六有”等各项核心指标</w:t>
      </w:r>
      <w:r>
        <w:rPr>
          <w:rFonts w:eastAsia="仿宋_GB2312"/>
          <w:sz w:val="32"/>
          <w:szCs w:val="32"/>
        </w:rPr>
        <w:t>不</w:t>
      </w:r>
      <w:r>
        <w:rPr>
          <w:rFonts w:eastAsia="仿宋_GB2312" w:hint="eastAsia"/>
          <w:sz w:val="32"/>
          <w:szCs w:val="32"/>
        </w:rPr>
        <w:t>达标</w:t>
      </w:r>
      <w:r>
        <w:rPr>
          <w:rFonts w:eastAsia="仿宋_GB2312"/>
          <w:sz w:val="32"/>
          <w:szCs w:val="32"/>
        </w:rPr>
        <w:t>情况</w:t>
      </w:r>
      <w:r>
        <w:rPr>
          <w:rFonts w:eastAsia="仿宋_GB2312" w:hint="eastAsia"/>
          <w:sz w:val="32"/>
          <w:szCs w:val="32"/>
        </w:rPr>
        <w:t>。</w:t>
      </w:r>
      <w:r>
        <w:rPr>
          <w:rFonts w:eastAsia="仿宋_GB2312"/>
          <w:sz w:val="32"/>
          <w:szCs w:val="32"/>
        </w:rPr>
        <w:t>三是开展党建共建，促成平安财险攀枝花中心支公司为油房村捐赠党建帮扶资金3万元</w:t>
      </w:r>
      <w:r>
        <w:rPr>
          <w:rFonts w:eastAsia="仿宋_GB2312" w:hint="eastAsia"/>
          <w:sz w:val="32"/>
          <w:szCs w:val="32"/>
        </w:rPr>
        <w:t>。</w:t>
      </w:r>
      <w:r>
        <w:rPr>
          <w:rFonts w:eastAsia="仿宋_GB2312"/>
          <w:sz w:val="32"/>
          <w:szCs w:val="32"/>
        </w:rPr>
        <w:t>四是</w:t>
      </w:r>
      <w:r>
        <w:rPr>
          <w:rFonts w:eastAsia="仿宋_GB2312" w:hint="eastAsia"/>
          <w:sz w:val="32"/>
          <w:szCs w:val="32"/>
        </w:rPr>
        <w:t>认真开展入户遍访和问题整改落实</w:t>
      </w:r>
      <w:r>
        <w:rPr>
          <w:rFonts w:eastAsia="仿宋_GB2312"/>
          <w:sz w:val="32"/>
          <w:szCs w:val="32"/>
        </w:rPr>
        <w:t>，参与疫情防控和森林草原防灭火等工作</w:t>
      </w:r>
      <w:r>
        <w:rPr>
          <w:rFonts w:eastAsia="仿宋_GB2312" w:hint="eastAsia"/>
          <w:sz w:val="32"/>
          <w:szCs w:val="32"/>
        </w:rPr>
        <w:t>。</w:t>
      </w:r>
      <w:r>
        <w:rPr>
          <w:rFonts w:eastAsia="仿宋_GB2312"/>
          <w:sz w:val="32"/>
          <w:szCs w:val="32"/>
        </w:rPr>
        <w:t>五是</w:t>
      </w:r>
      <w:r>
        <w:rPr>
          <w:rFonts w:eastAsia="仿宋_GB2312" w:hint="eastAsia"/>
          <w:sz w:val="32"/>
          <w:szCs w:val="32"/>
        </w:rPr>
        <w:t>积极在油费村广大党员干部和群众中开展党的十九届</w:t>
      </w:r>
      <w:r>
        <w:rPr>
          <w:rFonts w:eastAsia="仿宋_GB2312"/>
          <w:sz w:val="32"/>
          <w:szCs w:val="32"/>
        </w:rPr>
        <w:t>六</w:t>
      </w:r>
      <w:r>
        <w:rPr>
          <w:rFonts w:eastAsia="仿宋_GB2312" w:hint="eastAsia"/>
          <w:sz w:val="32"/>
          <w:szCs w:val="32"/>
        </w:rPr>
        <w:t>中全会</w:t>
      </w:r>
      <w:r>
        <w:rPr>
          <w:rFonts w:eastAsia="仿宋_GB2312"/>
          <w:sz w:val="32"/>
          <w:szCs w:val="32"/>
        </w:rPr>
        <w:t>、省委十一届十次全会、市委十一届二次全会精神及</w:t>
      </w:r>
      <w:r>
        <w:rPr>
          <w:rFonts w:eastAsia="仿宋_GB2312" w:hint="eastAsia"/>
          <w:sz w:val="32"/>
          <w:szCs w:val="32"/>
        </w:rPr>
        <w:t>森林草原防灭火和防汛减灾</w:t>
      </w:r>
      <w:r>
        <w:rPr>
          <w:rFonts w:eastAsia="仿宋_GB2312"/>
          <w:sz w:val="32"/>
          <w:szCs w:val="32"/>
        </w:rPr>
        <w:t>政策</w:t>
      </w:r>
      <w:r>
        <w:rPr>
          <w:rFonts w:eastAsia="仿宋_GB2312" w:hint="eastAsia"/>
          <w:sz w:val="32"/>
          <w:szCs w:val="32"/>
        </w:rPr>
        <w:t>宣讲。</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2.项目效益情况。</w:t>
      </w:r>
    </w:p>
    <w:p>
      <w:pPr>
        <w:widowControl/>
        <w:adjustRightInd w:val="0"/>
        <w:snapToGrid w:val="0"/>
        <w:spacing w:line="353" w:lineRule="auto"/>
        <w:ind w:firstLine="643"/>
        <w:rPr>
          <w:rFonts w:eastAsia="仿宋_GB2312"/>
          <w:sz w:val="32"/>
          <w:szCs w:val="32"/>
        </w:rPr>
      </w:pPr>
      <w:r>
        <w:rPr>
          <w:rFonts w:eastAsia="仿宋_GB2312"/>
          <w:sz w:val="32"/>
          <w:szCs w:val="32"/>
        </w:rPr>
        <w:t>目前，木里县</w:t>
      </w:r>
      <w:r>
        <w:rPr>
          <w:rFonts w:ascii="Calibri" w:eastAsia="仿宋_GB2312" w:hAnsi="Calibri" w:hint="eastAsia"/>
          <w:sz w:val="32"/>
          <w:szCs w:val="32"/>
        </w:rPr>
        <w:t>李子坪乡</w:t>
      </w:r>
      <w:r>
        <w:rPr>
          <w:rFonts w:eastAsia="仿宋_GB2312"/>
          <w:sz w:val="32"/>
          <w:szCs w:val="32"/>
        </w:rPr>
        <w:t>黄泥巴村建档立卡贫困户141户625人已全部脱贫，无返贫情况，全村疫情防控、森林草原防灭火工作取得阶段性胜利。攀枝花市米易县白坡彝族乡油房村已脱贫，正大力发展村集体经济，巩固脱贫攻坚成果</w:t>
      </w:r>
      <w:r>
        <w:rPr>
          <w:rFonts w:eastAsia="仿宋_GB2312" w:hint="eastAsia"/>
          <w:sz w:val="32"/>
          <w:szCs w:val="32"/>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（五）评价结论及建议。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firstLineChars="200" w:firstLine="640"/>
        <w:rPr>
          <w:rFonts w:eastAsia="仿宋_GB2312" w:hint="eastAsia"/>
          <w:sz w:val="32"/>
          <w:szCs w:val="32"/>
        </w:rPr>
      </w:pPr>
      <w:r>
        <w:rPr>
          <w:rFonts w:eastAsia="仿宋_GB2312"/>
          <w:sz w:val="32"/>
          <w:szCs w:val="32"/>
        </w:rPr>
        <w:t>木里县</w:t>
      </w:r>
      <w:r>
        <w:rPr>
          <w:rFonts w:ascii="Calibri" w:eastAsia="仿宋_GB2312" w:hAnsi="Calibri" w:hint="eastAsia"/>
          <w:sz w:val="32"/>
          <w:szCs w:val="32"/>
        </w:rPr>
        <w:t>李子坪乡</w:t>
      </w:r>
      <w:r>
        <w:rPr>
          <w:rFonts w:eastAsia="仿宋_GB2312"/>
          <w:sz w:val="32"/>
          <w:szCs w:val="32"/>
        </w:rPr>
        <w:t>黄泥巴村</w:t>
      </w:r>
      <w:r>
        <w:rPr>
          <w:rFonts w:eastAsia="仿宋_GB2312" w:hint="eastAsia"/>
          <w:sz w:val="32"/>
          <w:szCs w:val="32"/>
        </w:rPr>
        <w:t>、</w:t>
      </w:r>
      <w:r>
        <w:rPr>
          <w:rFonts w:eastAsia="仿宋_GB2312"/>
          <w:sz w:val="32"/>
          <w:szCs w:val="32"/>
        </w:rPr>
        <w:t>米易县白坡彝族乡油房村对口帮扶工作总体推进顺利、取得成效较好</w:t>
      </w:r>
      <w:r>
        <w:rPr>
          <w:rFonts w:eastAsia="仿宋_GB2312" w:hint="eastAsia"/>
          <w:sz w:val="32"/>
          <w:szCs w:val="32"/>
        </w:rPr>
        <w:t>。</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2.存在的问题。</w:t>
      </w:r>
    </w:p>
    <w:p>
      <w:pPr>
        <w:autoSpaceDE w:val="0"/>
        <w:autoSpaceDN w:val="0"/>
        <w:adjustRightInd w:val="0"/>
        <w:snapToGrid w:val="0"/>
        <w:spacing w:line="353" w:lineRule="auto"/>
        <w:ind w:firstLineChars="200" w:firstLine="640"/>
        <w:jc w:val="left"/>
        <w:rPr>
          <w:rFonts w:eastAsia="仿宋_GB2312" w:hint="eastAsia"/>
          <w:color w:val="auto"/>
          <w:sz w:val="32"/>
          <w:szCs w:val="32"/>
          <w:lang w:val="en-US" w:eastAsia="zh-CN"/>
        </w:rPr>
      </w:pPr>
      <w:r>
        <w:rPr>
          <w:rFonts w:eastAsia="仿宋_GB2312" w:hint="eastAsia"/>
          <w:color w:val="auto"/>
          <w:sz w:val="32"/>
          <w:szCs w:val="32"/>
          <w:lang w:val="en-US" w:eastAsia="zh-CN"/>
        </w:rPr>
        <w:t>无</w:t>
      </w:r>
    </w:p>
    <w:p>
      <w:pPr>
        <w:numPr>
          <w:ilvl w:val="0"/>
          <w:numId w:val="7"/>
        </w:numPr>
        <w:autoSpaceDE w:val="0"/>
        <w:autoSpaceDN w:val="0"/>
        <w:adjustRightInd w:val="0"/>
        <w:snapToGrid w:val="0"/>
        <w:spacing w:line="353" w:lineRule="auto"/>
        <w:ind w:left="0" w:firstLineChars="200" w:firstLine="640"/>
        <w:jc w:val="left"/>
        <w:rPr>
          <w:rFonts w:ascii="仿宋_GB2312" w:eastAsia="仿宋_GB2312" w:cs="仿宋_GB2312" w:hint="eastAsia"/>
          <w:b/>
          <w:bCs/>
          <w:color w:val="auto"/>
          <w:kern w:val="0"/>
          <w:sz w:val="32"/>
          <w:szCs w:val="32"/>
        </w:rPr>
      </w:pPr>
      <w:r>
        <w:rPr>
          <w:rFonts w:ascii="仿宋_GB2312" w:eastAsia="仿宋_GB2312" w:cs="仿宋_GB2312" w:hint="eastAsia"/>
          <w:b/>
          <w:bCs/>
          <w:color w:val="auto"/>
          <w:kern w:val="0"/>
          <w:sz w:val="32"/>
          <w:szCs w:val="32"/>
        </w:rPr>
        <w:t>相关建议。</w:t>
      </w:r>
    </w:p>
    <w:p>
      <w:pPr>
        <w:autoSpaceDE w:val="0"/>
        <w:autoSpaceDN w:val="0"/>
        <w:adjustRightInd w:val="0"/>
        <w:snapToGrid w:val="0"/>
        <w:spacing w:line="353" w:lineRule="auto"/>
        <w:ind w:firstLineChars="200" w:firstLine="640"/>
        <w:jc w:val="left"/>
        <w:rPr>
          <w:rFonts w:eastAsia="仿宋_GB2312" w:hint="eastAsia"/>
          <w:color w:val="auto"/>
          <w:sz w:val="32"/>
          <w:szCs w:val="32"/>
          <w:lang w:val="en-US" w:eastAsia="zh-CN"/>
        </w:rPr>
      </w:pPr>
      <w:r>
        <w:rPr>
          <w:rFonts w:eastAsia="仿宋_GB2312" w:hint="eastAsia"/>
          <w:color w:val="auto"/>
          <w:sz w:val="32"/>
          <w:szCs w:val="32"/>
          <w:lang w:val="en-US" w:eastAsia="zh-CN"/>
        </w:rPr>
        <w:t>无</w:t>
      </w:r>
    </w:p>
    <w:p>
      <w:pPr>
        <w:autoSpaceDE w:val="0"/>
        <w:autoSpaceDN w:val="0"/>
        <w:adjustRightInd w:val="0"/>
        <w:snapToGrid w:val="0"/>
        <w:spacing w:line="353" w:lineRule="auto"/>
        <w:ind w:left="0" w:firstLineChars="200" w:firstLine="640"/>
        <w:jc w:val="left"/>
        <w:rPr>
          <w:rFonts w:ascii="楷体" w:eastAsia="楷体" w:hint="eastAsia"/>
          <w:kern w:val="0"/>
          <w:sz w:val="32"/>
          <w:szCs w:val="32"/>
        </w:rPr>
      </w:pPr>
      <w:r>
        <w:rPr>
          <w:rFonts w:ascii="黑体" w:eastAsia="黑体" w:cs="黑体" w:hint="eastAsia"/>
          <w:color w:val="auto"/>
          <w:kern w:val="0"/>
          <w:sz w:val="32"/>
          <w:szCs w:val="32"/>
          <w:lang w:val="en-US" w:eastAsia="zh-CN" w:bidi="ar-SA"/>
        </w:rPr>
        <w:t>七、物业管理和清扫保洁费</w:t>
      </w:r>
    </w:p>
    <w:p>
      <w:pPr>
        <w:autoSpaceDE w:val="0"/>
        <w:autoSpaceDN w:val="0"/>
        <w:adjustRightInd w:val="0"/>
        <w:snapToGrid w:val="0"/>
        <w:spacing w:line="353" w:lineRule="auto"/>
        <w:ind w:left="0"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（一）项目概况。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1.项目基本情况。</w:t>
      </w:r>
    </w:p>
    <w:p>
      <w:pPr>
        <w:adjustRightInd w:val="0"/>
        <w:snapToGrid w:val="0"/>
        <w:spacing w:line="353" w:lineRule="auto"/>
        <w:ind w:firstLineChars="250" w:firstLine="800"/>
        <w:rPr>
          <w:rFonts w:ascii="Times New Roman" w:eastAsia="仿宋_GB2312" w:hAnsi="Times New Roman" w:hint="eastAsia"/>
          <w:sz w:val="32"/>
          <w:szCs w:val="32"/>
          <w:shd w:val="clear" w:color="auto" w:fill="FFFFFF"/>
        </w:rPr>
      </w:pPr>
      <w:r>
        <w:rPr>
          <w:rFonts w:ascii="Times New Roman" w:eastAsia="仿宋_GB2312" w:hAnsi="Times New Roman"/>
          <w:sz w:val="32"/>
          <w:szCs w:val="32"/>
          <w:shd w:val="clear" w:color="auto" w:fill="FFFFFF"/>
        </w:rPr>
        <w:t>攀枝花市金融工作局于</w:t>
      </w:r>
      <w:r>
        <w:rPr>
          <w:rFonts w:ascii="Times New Roman" w:eastAsia="仿宋_GB2312" w:hAnsi="Times New Roman" w:hint="eastAsia"/>
          <w:sz w:val="32"/>
          <w:szCs w:val="32"/>
          <w:shd w:val="clear" w:color="auto" w:fill="FFFFFF"/>
        </w:rPr>
        <w:t>1月25日成立，</w:t>
      </w:r>
      <w:r>
        <w:rPr>
          <w:rFonts w:ascii="Times New Roman" w:eastAsia="仿宋_GB2312" w:hAnsi="Times New Roman"/>
          <w:sz w:val="32"/>
          <w:szCs w:val="32"/>
          <w:shd w:val="clear" w:color="auto" w:fill="FFFFFF"/>
        </w:rPr>
        <w:t>市</w:t>
      </w:r>
      <w:r>
        <w:rPr>
          <w:rFonts w:ascii="Times New Roman" w:eastAsia="仿宋_GB2312" w:hAnsi="Times New Roman" w:hint="eastAsia"/>
          <w:sz w:val="32"/>
          <w:szCs w:val="32"/>
          <w:shd w:val="clear" w:color="auto" w:fill="FFFFFF"/>
        </w:rPr>
        <w:t>机关事务</w:t>
      </w:r>
      <w:r>
        <w:rPr>
          <w:rFonts w:ascii="Times New Roman" w:eastAsia="仿宋_GB2312" w:hAnsi="Times New Roman"/>
          <w:sz w:val="32"/>
          <w:szCs w:val="32"/>
          <w:shd w:val="clear" w:color="auto" w:fill="FFFFFF"/>
        </w:rPr>
        <w:t>服务</w:t>
      </w:r>
      <w:r>
        <w:rPr>
          <w:rFonts w:ascii="Times New Roman" w:eastAsia="仿宋_GB2312" w:hAnsi="Times New Roman" w:hint="eastAsia"/>
          <w:sz w:val="32"/>
          <w:szCs w:val="32"/>
          <w:shd w:val="clear" w:color="auto" w:fill="FFFFFF"/>
        </w:rPr>
        <w:t>中心</w:t>
      </w:r>
      <w:r>
        <w:rPr>
          <w:rFonts w:ascii="Times New Roman" w:eastAsia="仿宋_GB2312" w:hAnsi="Times New Roman"/>
          <w:sz w:val="32"/>
          <w:szCs w:val="32"/>
          <w:shd w:val="clear" w:color="auto" w:fill="FFFFFF"/>
        </w:rPr>
        <w:t>调配原工商局大楼</w:t>
      </w:r>
      <w:r>
        <w:rPr>
          <w:rFonts w:ascii="Times New Roman" w:eastAsia="仿宋_GB2312" w:hAnsi="Times New Roman" w:hint="eastAsia"/>
          <w:sz w:val="32"/>
          <w:szCs w:val="32"/>
          <w:shd w:val="clear" w:color="auto" w:fill="FFFFFF"/>
        </w:rPr>
        <w:t>13楼作为局</w:t>
      </w:r>
      <w:r>
        <w:rPr>
          <w:rFonts w:ascii="Times New Roman" w:eastAsia="仿宋_GB2312" w:hAnsi="Times New Roman"/>
          <w:sz w:val="32"/>
          <w:szCs w:val="32"/>
          <w:shd w:val="clear" w:color="auto" w:fill="FFFFFF"/>
        </w:rPr>
        <w:t>办公区</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为保证办公区域干净、整洁，我局与物业公司签订合同，由物业公司负责对13楼</w:t>
      </w:r>
      <w:r>
        <w:rPr>
          <w:rFonts w:ascii="Times New Roman" w:eastAsia="仿宋_GB2312" w:hAnsi="Times New Roman" w:hint="eastAsia"/>
          <w:sz w:val="32"/>
          <w:szCs w:val="32"/>
          <w:shd w:val="clear" w:color="auto" w:fill="FFFFFF"/>
        </w:rPr>
        <w:t>公共区域（含停车场）卫生、安保、绿化、设备设施</w:t>
      </w:r>
      <w:r>
        <w:rPr>
          <w:rFonts w:ascii="Times New Roman" w:eastAsia="仿宋_GB2312" w:hAnsi="Times New Roman"/>
          <w:sz w:val="32"/>
          <w:szCs w:val="32"/>
          <w:shd w:val="clear" w:color="auto" w:fill="FFFFFF"/>
        </w:rPr>
        <w:t>进行</w:t>
      </w:r>
      <w:r>
        <w:rPr>
          <w:rFonts w:ascii="Times New Roman" w:eastAsia="仿宋_GB2312" w:hAnsi="Times New Roman" w:hint="eastAsia"/>
          <w:sz w:val="32"/>
          <w:szCs w:val="32"/>
          <w:shd w:val="clear" w:color="auto" w:fill="FFFFFF"/>
        </w:rPr>
        <w:t>日常维护</w:t>
      </w:r>
      <w:r>
        <w:rPr>
          <w:rFonts w:ascii="Times New Roman" w:eastAsia="仿宋_GB2312" w:hAnsi="Times New Roman"/>
          <w:sz w:val="32"/>
          <w:szCs w:val="32"/>
          <w:shd w:val="clear" w:color="auto" w:fill="FFFFFF"/>
        </w:rPr>
        <w:t>；对局办公区办公室、会议室、厕所进行保洁</w:t>
      </w:r>
      <w:r>
        <w:rPr>
          <w:rFonts w:ascii="Times New Roman" w:eastAsia="仿宋_GB2312" w:hAnsi="Times New Roman" w:hint="eastAsia"/>
          <w:sz w:val="32"/>
          <w:szCs w:val="32"/>
          <w:shd w:val="clear" w:color="auto" w:fill="FFFFFF"/>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2.项目绩效目标。</w:t>
      </w:r>
    </w:p>
    <w:p>
      <w:pPr>
        <w:adjustRightInd w:val="0"/>
        <w:snapToGrid w:val="0"/>
        <w:spacing w:line="353" w:lineRule="auto"/>
        <w:ind w:left="0" w:firstLineChars="200" w:firstLine="640"/>
        <w:rPr>
          <w:rFonts w:ascii="Times New Roman" w:eastAsia="仿宋_GB2312" w:hAnsi="Times New Roman"/>
          <w:sz w:val="32"/>
          <w:szCs w:val="32"/>
          <w:shd w:val="clear" w:color="auto" w:fill="FFFFFF"/>
          <w:lang w:val="en-US" w:eastAsia="zh-CN"/>
        </w:rPr>
      </w:pPr>
      <w:r>
        <w:rPr>
          <w:rFonts w:ascii="Times New Roman" w:eastAsia="仿宋_GB2312" w:hAnsi="Times New Roman"/>
          <w:sz w:val="32"/>
          <w:szCs w:val="32"/>
          <w:shd w:val="clear" w:color="auto" w:fill="FFFFFF"/>
        </w:rPr>
        <w:t>按合同约定定期开展维护和保洁工作</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lang w:val="en-US" w:eastAsia="zh-CN"/>
        </w:rPr>
        <w:t>。</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（二）项目资金申报及使用情况。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1.项目资金申报及批复情况。</w:t>
      </w:r>
    </w:p>
    <w:p>
      <w:pPr>
        <w:autoSpaceDE w:val="0"/>
        <w:autoSpaceDN w:val="0"/>
        <w:adjustRightInd w:val="0"/>
        <w:snapToGrid w:val="0"/>
        <w:spacing w:line="353" w:lineRule="auto"/>
        <w:ind w:firstLineChars="200" w:firstLine="640"/>
        <w:rPr>
          <w:rFonts w:eastAsia="仿宋_GB2312" w:hint="eastAsia"/>
          <w:kern w:val="0"/>
          <w:sz w:val="32"/>
          <w:szCs w:val="32"/>
        </w:rPr>
      </w:pPr>
      <w:r>
        <w:rPr>
          <w:rFonts w:eastAsia="仿宋_GB2312" w:hint="eastAsia"/>
          <w:kern w:val="0"/>
          <w:sz w:val="32"/>
          <w:szCs w:val="32"/>
        </w:rPr>
        <w:t>2021年9月</w:t>
      </w:r>
      <w:r>
        <w:rPr>
          <w:rFonts w:eastAsia="仿宋_GB2312" w:cs="仿宋" w:hint="eastAsia"/>
          <w:bCs/>
          <w:kern w:val="0"/>
          <w:sz w:val="32"/>
          <w:szCs w:val="32"/>
          <w:lang w:bidi="ar-SA"/>
        </w:rPr>
        <w:t>追加4.73万元。</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2.资金计划、到位及使用情况。</w:t>
      </w:r>
    </w:p>
    <w:p>
      <w:pPr>
        <w:autoSpaceDE w:val="0"/>
        <w:autoSpaceDN w:val="0"/>
        <w:adjustRightInd w:val="0"/>
        <w:snapToGrid w:val="0"/>
        <w:spacing w:line="353" w:lineRule="auto"/>
        <w:ind w:firstLineChars="200" w:firstLine="640"/>
        <w:rPr>
          <w:rFonts w:eastAsia="仿宋_GB2312"/>
          <w:kern w:val="0"/>
          <w:sz w:val="32"/>
          <w:szCs w:val="32"/>
        </w:rPr>
      </w:pPr>
      <w:r>
        <w:rPr>
          <w:rFonts w:eastAsia="仿宋_GB2312" w:cs="仿宋" w:hint="eastAsia"/>
          <w:bCs/>
          <w:kern w:val="0"/>
          <w:sz w:val="32"/>
          <w:szCs w:val="32"/>
          <w:lang w:bidi="ar-SA"/>
        </w:rPr>
        <w:t>资金年初预算批复于202</w:t>
      </w:r>
      <w:r>
        <w:rPr>
          <w:rFonts w:eastAsia="仿宋_GB2312" w:cs="仿宋" w:hint="eastAsia"/>
          <w:bCs/>
          <w:kern w:val="0"/>
          <w:sz w:val="32"/>
          <w:szCs w:val="32"/>
          <w:lang w:val="en-US" w:eastAsia="zh-CN" w:bidi="ar-SA"/>
        </w:rPr>
        <w:t>1</w:t>
      </w:r>
      <w:r>
        <w:rPr>
          <w:rFonts w:eastAsia="仿宋_GB2312" w:cs="仿宋" w:hint="eastAsia"/>
          <w:bCs/>
          <w:kern w:val="0"/>
          <w:sz w:val="32"/>
          <w:szCs w:val="32"/>
          <w:lang w:bidi="ar-SA"/>
        </w:rPr>
        <w:t>年</w:t>
      </w:r>
      <w:r>
        <w:rPr>
          <w:rFonts w:eastAsia="仿宋_GB2312" w:cs="仿宋" w:hint="eastAsia"/>
          <w:bCs/>
          <w:kern w:val="0"/>
          <w:sz w:val="32"/>
          <w:szCs w:val="32"/>
          <w:lang w:val="en-US" w:eastAsia="zh-CN" w:bidi="ar-SA"/>
        </w:rPr>
        <w:t>9</w:t>
      </w:r>
      <w:r>
        <w:rPr>
          <w:rFonts w:eastAsia="仿宋_GB2312" w:cs="仿宋" w:hint="eastAsia"/>
          <w:bCs/>
          <w:kern w:val="0"/>
          <w:sz w:val="32"/>
          <w:szCs w:val="32"/>
          <w:lang w:bidi="ar-SA"/>
        </w:rPr>
        <w:t>月7日到位。</w:t>
      </w:r>
      <w:r>
        <w:rPr>
          <w:rFonts w:ascii="Times New Roman" w:eastAsia="仿宋_GB2312" w:hAnsi="Times New Roman" w:hint="eastAsia"/>
          <w:kern w:val="0"/>
          <w:sz w:val="32"/>
          <w:szCs w:val="32"/>
        </w:rPr>
        <w:t>物业管理费</w:t>
      </w:r>
      <w:r>
        <w:rPr>
          <w:rFonts w:ascii="Times New Roman" w:eastAsia="仿宋_GB2312" w:hAnsi="Times New Roman"/>
          <w:kern w:val="0"/>
          <w:sz w:val="32"/>
          <w:szCs w:val="32"/>
        </w:rPr>
        <w:t>、</w:t>
      </w:r>
      <w:r>
        <w:rPr>
          <w:rFonts w:ascii="Times New Roman" w:eastAsia="仿宋_GB2312" w:hAnsi="Times New Roman" w:hint="eastAsia"/>
          <w:kern w:val="0"/>
          <w:sz w:val="32"/>
          <w:szCs w:val="32"/>
        </w:rPr>
        <w:t>清扫保洁费</w:t>
      </w:r>
      <w:r>
        <w:rPr>
          <w:rFonts w:ascii="Times New Roman" w:eastAsia="仿宋_GB2312" w:hAnsi="Times New Roman" w:hint="eastAsia"/>
          <w:kern w:val="0"/>
          <w:sz w:val="32"/>
          <w:szCs w:val="32"/>
          <w:lang w:val="en-US" w:eastAsia="zh-CN"/>
        </w:rPr>
        <w:t>合计</w:t>
      </w:r>
      <w:r>
        <w:rPr>
          <w:rFonts w:ascii="Times New Roman" w:eastAsia="仿宋_GB2312" w:hAnsi="Times New Roman"/>
          <w:kern w:val="0"/>
          <w:sz w:val="32"/>
          <w:szCs w:val="32"/>
          <w:lang w:val="en-US" w:eastAsia="zh-CN"/>
        </w:rPr>
        <w:t>支出</w:t>
      </w:r>
      <w:r>
        <w:rPr>
          <w:rFonts w:ascii="Times New Roman" w:eastAsia="仿宋_GB2312" w:hAnsi="Times New Roman" w:hint="eastAsia"/>
          <w:kern w:val="0"/>
          <w:sz w:val="32"/>
          <w:szCs w:val="32"/>
          <w:lang w:val="en-US" w:eastAsia="zh-CN"/>
        </w:rPr>
        <w:t>4.73万元。</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3.项目财务管理情况。</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本</w:t>
      </w:r>
      <w:r>
        <w:rPr>
          <w:rFonts w:ascii="Times New Roman" w:eastAsia="仿宋_GB2312" w:hAnsi="Times New Roman"/>
          <w:kern w:val="0"/>
          <w:sz w:val="32"/>
          <w:szCs w:val="32"/>
        </w:rPr>
        <w:t>单位财务管理制度健全，严格执行财务管理制度，账务处理及时，会计核算规范。</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（三）项目绩效情况。</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1.项目完成情况。</w:t>
      </w:r>
    </w:p>
    <w:p>
      <w:pPr>
        <w:autoSpaceDE w:val="0"/>
        <w:autoSpaceDN w:val="0"/>
        <w:adjustRightInd w:val="0"/>
        <w:snapToGrid w:val="0"/>
        <w:spacing w:line="353" w:lineRule="auto"/>
        <w:ind w:firstLineChars="200" w:firstLine="640"/>
        <w:rPr>
          <w:rFonts w:ascii="楷体" w:eastAsia="楷体" w:hint="eastAsia"/>
          <w:kern w:val="0"/>
          <w:sz w:val="32"/>
          <w:szCs w:val="32"/>
        </w:rPr>
      </w:pPr>
      <w:r>
        <w:rPr>
          <w:rFonts w:ascii="Times New Roman" w:eastAsia="仿宋_GB2312" w:hAnsi="Times New Roman"/>
          <w:kern w:val="0"/>
          <w:sz w:val="32"/>
          <w:szCs w:val="32"/>
        </w:rPr>
        <w:t>按合同约定完成了年度维护、保洁工作。</w:t>
      </w:r>
    </w:p>
    <w:p>
      <w:pPr>
        <w:autoSpaceDE w:val="0"/>
        <w:autoSpaceDN w:val="0"/>
        <w:adjustRightInd w:val="0"/>
        <w:snapToGrid w:val="0"/>
        <w:spacing w:line="353" w:lineRule="auto"/>
        <w:ind w:leftChars="200" w:left="420" w:firstLineChars="100" w:firstLine="320"/>
        <w:rPr>
          <w:rFonts w:ascii="仿宋_GB2312" w:eastAsia="仿宋_GB2312" w:cs="仿宋_GB2312" w:hint="eastAsia"/>
          <w:b/>
          <w:bCs/>
          <w:color w:val="auto"/>
          <w:kern w:val="0"/>
          <w:sz w:val="32"/>
          <w:szCs w:val="32"/>
        </w:rPr>
      </w:pPr>
      <w:r>
        <w:rPr>
          <w:rFonts w:ascii="仿宋_GB2312" w:eastAsia="仿宋_GB2312" w:cs="仿宋_GB2312" w:hint="eastAsia"/>
          <w:b/>
          <w:bCs/>
          <w:color w:val="auto"/>
          <w:kern w:val="0"/>
          <w:sz w:val="32"/>
          <w:szCs w:val="32"/>
          <w:lang w:val="en-US" w:eastAsia="zh-CN"/>
        </w:rPr>
        <w:t>2.</w:t>
      </w:r>
      <w:r>
        <w:rPr>
          <w:rFonts w:ascii="仿宋_GB2312" w:eastAsia="仿宋_GB2312" w:cs="仿宋_GB2312" w:hint="eastAsia"/>
          <w:b/>
          <w:bCs/>
          <w:color w:val="auto"/>
          <w:kern w:val="0"/>
          <w:sz w:val="32"/>
          <w:szCs w:val="32"/>
        </w:rPr>
        <w:t>项目效益情况。</w:t>
      </w:r>
    </w:p>
    <w:p>
      <w:pPr>
        <w:autoSpaceDE w:val="0"/>
        <w:autoSpaceDN w:val="0"/>
        <w:adjustRightInd w:val="0"/>
        <w:snapToGrid w:val="0"/>
        <w:spacing w:line="353" w:lineRule="auto"/>
        <w:ind w:firstLineChars="200" w:firstLine="640"/>
        <w:rPr>
          <w:rFonts w:eastAsia="仿宋_GB2312"/>
          <w:kern w:val="0"/>
          <w:sz w:val="32"/>
          <w:szCs w:val="32"/>
        </w:rPr>
      </w:pPr>
      <w:r>
        <w:rPr>
          <w:rFonts w:ascii="Times New Roman" w:eastAsia="仿宋_GB2312" w:hAnsi="Times New Roman" w:hint="eastAsia"/>
          <w:kern w:val="0"/>
          <w:sz w:val="32"/>
          <w:szCs w:val="32"/>
        </w:rPr>
        <w:t>保障</w:t>
      </w:r>
      <w:r>
        <w:rPr>
          <w:rFonts w:ascii="Times New Roman" w:eastAsia="仿宋_GB2312" w:hAnsi="Times New Roman"/>
          <w:kern w:val="0"/>
          <w:sz w:val="32"/>
          <w:szCs w:val="32"/>
        </w:rPr>
        <w:t>了办公环境干净整洁。</w:t>
      </w:r>
    </w:p>
    <w:p>
      <w:pPr>
        <w:autoSpaceDE w:val="0"/>
        <w:autoSpaceDN w:val="0"/>
        <w:adjustRightInd w:val="0"/>
        <w:snapToGrid w:val="0"/>
        <w:spacing w:line="353" w:lineRule="auto"/>
        <w:ind w:firstLineChars="200" w:firstLine="640"/>
        <w:jc w:val="left"/>
        <w:rPr>
          <w:rFonts w:ascii="楷体" w:eastAsia="楷体" w:cs="楷体"/>
          <w:color w:val="auto"/>
          <w:kern w:val="0"/>
          <w:sz w:val="32"/>
          <w:szCs w:val="32"/>
        </w:rPr>
      </w:pPr>
      <w:r>
        <w:rPr>
          <w:rFonts w:ascii="楷体" w:eastAsia="楷体" w:cs="楷体" w:hint="eastAsia"/>
          <w:color w:val="auto"/>
          <w:kern w:val="0"/>
          <w:sz w:val="32"/>
          <w:szCs w:val="32"/>
        </w:rPr>
        <w:t>（</w:t>
      </w:r>
      <w:r>
        <w:rPr>
          <w:rFonts w:ascii="楷体" w:eastAsia="楷体" w:cs="楷体"/>
          <w:color w:val="auto"/>
          <w:kern w:val="0"/>
          <w:sz w:val="32"/>
          <w:szCs w:val="32"/>
        </w:rPr>
        <w:t>四</w:t>
      </w:r>
      <w:r>
        <w:rPr>
          <w:rFonts w:ascii="楷体" w:eastAsia="楷体" w:cs="楷体" w:hint="eastAsia"/>
          <w:color w:val="auto"/>
          <w:kern w:val="0"/>
          <w:sz w:val="32"/>
          <w:szCs w:val="32"/>
        </w:rPr>
        <w:t>）评价结论及建议。</w:t>
      </w:r>
    </w:p>
    <w:p>
      <w:pPr>
        <w:autoSpaceDE w:val="0"/>
        <w:autoSpaceDN w:val="0"/>
        <w:adjustRightInd w:val="0"/>
        <w:snapToGrid w:val="0"/>
        <w:spacing w:line="353" w:lineRule="auto"/>
        <w:ind w:firstLineChars="200" w:firstLine="640"/>
        <w:jc w:val="left"/>
        <w:rPr>
          <w:rFonts w:ascii="仿宋_GB2312" w:eastAsia="仿宋_GB2312" w:cs="仿宋_GB2312"/>
          <w:b/>
          <w:bCs/>
          <w:color w:val="auto"/>
          <w:kern w:val="0"/>
          <w:sz w:val="32"/>
          <w:szCs w:val="32"/>
        </w:rPr>
      </w:pPr>
      <w:r>
        <w:rPr>
          <w:rFonts w:ascii="仿宋_GB2312" w:eastAsia="仿宋_GB2312" w:cs="仿宋_GB2312" w:hint="eastAsia"/>
          <w:b/>
          <w:bCs/>
          <w:color w:val="auto"/>
          <w:kern w:val="0"/>
          <w:sz w:val="32"/>
          <w:szCs w:val="32"/>
        </w:rPr>
        <w:t>1.评价结论。</w:t>
      </w:r>
    </w:p>
    <w:p>
      <w:pPr>
        <w:autoSpaceDE w:val="0"/>
        <w:autoSpaceDN w:val="0"/>
        <w:adjustRightInd w:val="0"/>
        <w:snapToGrid w:val="0"/>
        <w:spacing w:line="353" w:lineRule="auto"/>
        <w:ind w:firstLineChars="200" w:firstLine="640"/>
        <w:rPr>
          <w:rFonts w:ascii="Times New Roman" w:eastAsia="楷体_GB2312" w:hAnsi="Times New Roman"/>
          <w:kern w:val="0"/>
          <w:sz w:val="32"/>
          <w:szCs w:val="32"/>
        </w:rPr>
      </w:pPr>
      <w:r>
        <w:rPr>
          <w:rFonts w:ascii="Times New Roman" w:eastAsia="仿宋_GB2312" w:hAnsi="Times New Roman"/>
          <w:sz w:val="32"/>
          <w:szCs w:val="32"/>
          <w:shd w:val="clear" w:color="auto" w:fill="FFFFFF"/>
        </w:rPr>
        <w:t>实现了</w:t>
      </w:r>
      <w:r>
        <w:rPr>
          <w:rFonts w:ascii="Times New Roman" w:eastAsia="仿宋_GB2312" w:hAnsi="Times New Roman" w:hint="eastAsia"/>
          <w:sz w:val="32"/>
          <w:szCs w:val="32"/>
          <w:shd w:val="clear" w:color="auto" w:fill="FFFFFF"/>
        </w:rPr>
        <w:t>公共区域（含停车场）卫生、安保、绿化、设备设施日常维护</w:t>
      </w:r>
      <w:r>
        <w:rPr>
          <w:rFonts w:ascii="Times New Roman" w:eastAsia="仿宋_GB2312" w:hAnsi="Times New Roman"/>
          <w:sz w:val="32"/>
          <w:szCs w:val="32"/>
          <w:shd w:val="clear" w:color="auto" w:fill="FFFFFF"/>
        </w:rPr>
        <w:t>和办公区域保洁目标</w:t>
      </w:r>
      <w:r>
        <w:rPr>
          <w:rFonts w:ascii="Times New Roman" w:eastAsia="仿宋_GB2312" w:hAnsi="Times New Roman" w:hint="eastAsia"/>
          <w:sz w:val="32"/>
          <w:szCs w:val="32"/>
          <w:shd w:val="clear" w:color="auto" w:fill="FFFFFF"/>
        </w:rPr>
        <w:t>。</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2.存在的问题。</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水电费收费方式按面积摊销存在不合理性。</w:t>
      </w:r>
    </w:p>
    <w:p>
      <w:pPr>
        <w:autoSpaceDE w:val="0"/>
        <w:autoSpaceDN w:val="0"/>
        <w:adjustRightInd w:val="0"/>
        <w:snapToGrid w:val="0"/>
        <w:spacing w:line="353" w:lineRule="auto"/>
        <w:ind w:firstLineChars="200" w:firstLine="640"/>
        <w:jc w:val="left"/>
        <w:rPr>
          <w:rFonts w:ascii="仿宋_GB2312" w:eastAsia="仿宋_GB2312"/>
          <w:b/>
          <w:bCs/>
          <w:color w:val="auto"/>
          <w:kern w:val="0"/>
          <w:sz w:val="32"/>
          <w:szCs w:val="32"/>
        </w:rPr>
      </w:pPr>
      <w:r>
        <w:rPr>
          <w:rFonts w:ascii="仿宋_GB2312" w:eastAsia="仿宋_GB2312" w:hint="eastAsia"/>
          <w:b/>
          <w:bCs/>
          <w:color w:val="auto"/>
          <w:kern w:val="0"/>
          <w:sz w:val="32"/>
          <w:szCs w:val="32"/>
        </w:rPr>
        <w:t>3.相关建议。</w:t>
      </w:r>
    </w:p>
    <w:p>
      <w:pPr>
        <w:autoSpaceDE w:val="0"/>
        <w:autoSpaceDN w:val="0"/>
        <w:adjustRightInd w:val="0"/>
        <w:snapToGrid w:val="0"/>
        <w:spacing w:line="353" w:lineRule="auto"/>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由机关事务服务中心牵头，协调推动按单位实际发生</w:t>
      </w:r>
      <w:r>
        <w:rPr>
          <w:rFonts w:ascii="Times New Roman" w:eastAsia="仿宋_GB2312" w:hAnsi="Times New Roman" w:hint="eastAsia"/>
          <w:kern w:val="0"/>
          <w:sz w:val="32"/>
          <w:szCs w:val="32"/>
        </w:rPr>
        <w:t>水电费</w:t>
      </w:r>
      <w:r>
        <w:rPr>
          <w:rFonts w:ascii="Times New Roman" w:eastAsia="仿宋_GB2312" w:hAnsi="Times New Roman"/>
          <w:kern w:val="0"/>
          <w:sz w:val="32"/>
          <w:szCs w:val="32"/>
        </w:rPr>
        <w:t>进行结算</w:t>
      </w:r>
      <w:r>
        <w:rPr>
          <w:rFonts w:ascii="Times New Roman" w:eastAsia="仿宋_GB2312" w:hAnsi="Times New Roman" w:hint="eastAsia"/>
          <w:kern w:val="0"/>
          <w:sz w:val="32"/>
          <w:szCs w:val="32"/>
        </w:rPr>
        <w:t>。</w:t>
      </w:r>
    </w:p>
    <w:p>
      <w:pPr>
        <w:autoSpaceDE w:val="0"/>
        <w:autoSpaceDN w:val="0"/>
        <w:adjustRightInd w:val="0"/>
        <w:snapToGrid w:val="0"/>
        <w:spacing w:line="353" w:lineRule="auto"/>
        <w:ind w:firstLineChars="200" w:firstLine="640"/>
        <w:jc w:val="left"/>
        <w:rPr>
          <w:rFonts w:eastAsia="仿宋_GB2312" w:hint="eastAsia"/>
          <w:color w:val="auto"/>
          <w:sz w:val="32"/>
          <w:szCs w:val="32"/>
          <w:lang w:val="en-US" w:eastAsia="zh-CN"/>
        </w:rPr>
      </w:pPr>
    </w:p>
    <w:p>
      <w:pPr>
        <w:pStyle w:val="15"/>
        <w:adjustRightInd w:val="0"/>
        <w:snapToGrid w:val="0"/>
        <w:spacing w:beforeLines="0" w:before="0" w:line="353" w:lineRule="auto"/>
        <w:rPr>
          <w:rFonts w:hint="eastAsia"/>
          <w:lang w:val="en-US" w:eastAsia="zh-CN"/>
        </w:rPr>
      </w:pPr>
    </w:p>
    <w:p>
      <w:pPr>
        <w:adjustRightInd w:val="0"/>
        <w:snapToGrid w:val="0"/>
        <w:spacing w:line="353" w:lineRule="auto"/>
        <w:jc w:val="center"/>
        <w:outlineLvl w:val="0"/>
        <w:rPr>
          <w:rStyle w:val="1Char"/>
          <w:rFonts w:eastAsia="黑体"/>
          <w:b w:val="0"/>
          <w:color w:val="auto"/>
        </w:rPr>
      </w:pPr>
      <w:bookmarkStart w:id="24" w:name="_Toc15396618"/>
      <w:bookmarkStart w:id="25" w:name="_Toc15377226"/>
      <w:r>
        <w:rPr>
          <w:rFonts w:eastAsia="黑体" w:hint="eastAsia"/>
          <w:color w:val="auto"/>
          <w:sz w:val="44"/>
          <w:szCs w:val="44"/>
        </w:rPr>
        <w:t>第</w:t>
      </w:r>
      <w:r>
        <w:rPr>
          <w:rStyle w:val="1Char"/>
          <w:rFonts w:eastAsia="黑体" w:hint="eastAsia"/>
          <w:b w:val="0"/>
          <w:color w:val="auto"/>
        </w:rPr>
        <w:t>五部分附表</w:t>
      </w:r>
      <w:bookmarkEnd w:id="24"/>
      <w:bookmarkEnd w:id="25"/>
    </w:p>
    <w:p>
      <w:pPr>
        <w:adjustRightInd w:val="0"/>
        <w:snapToGrid w:val="0"/>
        <w:spacing w:line="353" w:lineRule="auto"/>
        <w:jc w:val="center"/>
        <w:outlineLvl w:val="0"/>
        <w:rPr>
          <w:rFonts w:eastAsia="仿宋"/>
          <w:b/>
          <w:color w:val="auto"/>
          <w:sz w:val="44"/>
          <w:szCs w:val="44"/>
        </w:rPr>
      </w:pP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bookmarkStart w:id="26" w:name="_Toc15396619"/>
      <w:r>
        <w:rPr>
          <w:rFonts w:ascii="仿宋_GB2312" w:eastAsia="仿宋_GB2312" w:cs="仿宋_GB2312" w:hint="eastAsia"/>
          <w:color w:val="auto"/>
          <w:sz w:val="32"/>
          <w:szCs w:val="32"/>
        </w:rPr>
        <w:t>一、收入支出决算总表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二、收入决算表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三、支出决算表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四、财政拨款收入支出决算总表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五、财政拨款支出决算明细表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六、一般公共预算财政拨款支出决算表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七、一般公共预算财政拨款支出决算明细表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八、一般公共预算财政拨款基本支出决算表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九、一般公共预算财政拨款项目支出决算表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十、一般公共预算财政拨款“三公”经费支出决算表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十一、政府性基金预算财政拨款收入支出决算表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十二、政府性基金预算财政拨款“三公”经费支出决算表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十三、国有资本经营预算财政拨款收入支出决算表</w:t>
      </w:r>
    </w:p>
    <w:p>
      <w:pPr>
        <w:pStyle w:val="22"/>
        <w:tabs>
          <w:tab w:val="right" w:leader="dot" w:pos="8296"/>
        </w:tabs>
        <w:adjustRightInd w:val="0"/>
        <w:snapToGrid w:val="0"/>
        <w:spacing w:line="353" w:lineRule="auto"/>
        <w:jc w:val="left"/>
        <w:rPr>
          <w:rFonts w:ascii="仿宋_GB2312" w:eastAsia="仿宋_GB2312" w:cs="仿宋_GB2312"/>
          <w:color w:val="auto"/>
          <w:sz w:val="32"/>
          <w:szCs w:val="32"/>
        </w:rPr>
      </w:pPr>
      <w:r>
        <w:rPr>
          <w:rFonts w:ascii="仿宋_GB2312" w:eastAsia="仿宋_GB2312" w:cs="仿宋_GB2312" w:hint="eastAsia"/>
          <w:color w:val="auto"/>
          <w:sz w:val="32"/>
          <w:szCs w:val="32"/>
        </w:rPr>
        <w:t>十四、国有资本经营预算财政拨款支出决算表</w:t>
      </w:r>
    </w:p>
    <w:p>
      <w:pPr>
        <w:adjustRightInd w:val="0"/>
        <w:snapToGrid w:val="0"/>
        <w:spacing w:line="353" w:lineRule="auto"/>
        <w:rPr>
          <w:rFonts w:ascii="仿宋_GB2312" w:eastAsia="仿宋_GB2312" w:cs="仿宋_GB2312"/>
          <w:color w:val="auto"/>
          <w:sz w:val="32"/>
          <w:szCs w:val="32"/>
        </w:rPr>
      </w:pPr>
      <w:bookmarkEnd w:id="26"/>
    </w:p>
    <w:sectPr>
      <w:footerReference w:type="default" r:id="rId6"/>
      <w:footerReference w:type="first" r:id="rId7"/>
      <w:pgSz w:w="11906" w:h="16838"/>
      <w:pgMar w:top="1440" w:right="1800" w:bottom="1440" w:left="1800" w:header="851" w:footer="992" w:gutter="0"/>
      <w:pgNumType w:start="1"/>
      <w:cols w:num="1" w:space="72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1"/>
    <w:family w:val="auto"/>
    <w:pitch w:val="variable"/>
    <w:sig w:usb0="E0002EFF" w:usb1="C000785B" w:usb2="00000009" w:usb3="00000000" w:csb0="400001FF" w:csb1="FFFF0000"/>
  </w:font>
  <w:font w:name="仿宋">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Lucida Sans">
    <w:panose1 w:val="020B0602030504020204"/>
    <w:charset w:val="00"/>
    <w:family w:val="auto"/>
    <w:pitch w:val="variable"/>
    <w:sig w:usb0="00000003" w:usb1="00000000" w:usb2="00000000" w:usb3="00000000" w:csb0="20000001" w:csb1="00000000"/>
  </w:font>
  <w:font w:name="Cambria">
    <w:panose1 w:val="02040503050406030204"/>
    <w:charset w:val="00"/>
    <w:family w:val="roman"/>
    <w:pitch w:val="variable"/>
    <w:sig w:usb0="E00006FF" w:usb1="420024FF" w:usb2="02000000" w:usb3="00000000" w:csb0="2000019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p>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4"/>
      </w:rPr>
      <w:fldChar w:fldCharType="begin"/>
    </w:r>
    <w:r>
      <w:rPr>
        <w:rStyle w:val="24"/>
      </w:rPr>
      <w:instrText>Page</w:instrText>
    </w:r>
    <w:r>
      <w:rPr>
        <w:rStyle w:val="24"/>
      </w:rPr>
      <w:fldChar w:fldCharType="separate"/>
    </w:r>
    <w:r>
      <w:rPr>
        <w:rStyle w:val="24"/>
      </w:rPr>
      <w:t>1</w:t>
    </w:r>
    <w:r>
      <w:rPr>
        <w:rStyle w:val="24"/>
      </w:rPr>
      <w:fldChar w:fldCharType="end"/>
    </w:r>
  </w:p>
  <w:p>
    <w:pPr>
      <w:pStyle w:val="19"/>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center"/>
    </w:pPr>
  </w:p>
  <w:p>
    <w:pPr>
      <w:pStyle w:val="19"/>
      <w:tabs>
        <w:tab w:val="clear" w:pos="4153"/>
        <w:tab w:val="right" w:pos="8306"/>
      </w:tabs>
      <w:jc w:val="cente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4"/>
      </w:rPr>
      <w:fldChar w:fldCharType="begin"/>
    </w:r>
    <w:r>
      <w:rPr>
        <w:rStyle w:val="24"/>
      </w:rPr>
      <w:instrText>Page</w:instrText>
    </w:r>
    <w:r>
      <w:rPr>
        <w:rStyle w:val="24"/>
      </w:rPr>
      <w:fldChar w:fldCharType="separate"/>
    </w:r>
    <w:r>
      <w:rPr>
        <w:rStyle w:val="24"/>
      </w:rPr>
      <w:t>2</w:t>
    </w:r>
    <w:r>
      <w:rPr>
        <w:rStyle w:val="24"/>
      </w:rPr>
      <w:fldChar w:fldCharType="end"/>
    </w:r>
  </w:p>
  <w:p>
    <w:pPr>
      <w:pStyle w:val="19"/>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ind w:firstLineChars="100" w:firstLine="180"/>
    </w:pPr>
    <w:r>
      <w:t xml:space="preserve">                                            1</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A6EB9AB"/>
    <w:multiLevelType w:val="singleLevel"/>
    <w:tmpl w:val="5A6EB9AB"/>
    <w:lvl w:ilvl="0">
      <w:start w:val="2"/>
      <w:numFmt w:val="chineseCounting"/>
      <w:lvlRestart w:val="0"/>
      <w:suff w:val="space"/>
      <w:lvlText w:val="第%1部分"/>
      <w:lvlJc w:val="left"/>
      <w:pPr>
        <w:tabs>
          <w:tab w:val="num" w:pos="0"/>
        </w:tabs>
        <w:ind w:left="0" w:hanging="0"/>
      </w:pPr>
      <w:rPr>
        <w:rFonts w:hint="eastAsia"/>
      </w:r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2">
    <w:nsid w:val="744F3024"/>
    <w:multiLevelType w:val="singleLevel"/>
    <w:tmpl w:val="744F3024"/>
    <w:lvl w:ilvl="0">
      <w:start w:val="10"/>
      <w:numFmt w:val="decimal"/>
      <w:lvlRestart w:val="0"/>
      <w:suff w:val="space"/>
      <w:lvlText w:val="%1."/>
      <w:lvlJc w:val="left"/>
      <w:pPr>
        <w:tabs>
          <w:tab w:val="num" w:pos="0"/>
        </w:tabs>
        <w:ind w:left="0" w:hanging="0"/>
      </w:pPr>
    </w:lvl>
  </w:abstractNum>
  <w:abstractNum w:abstractNumId="3">
    <w:nsid w:val="42A228CB"/>
    <w:multiLevelType w:val="multilevel"/>
    <w:tmpl w:val="42A228CB"/>
    <w:lvl w:ilvl="0">
      <w:start w:val="1"/>
      <w:numFmt w:val="chineseCountingThousand"/>
      <w:lvlRestart w:val="0"/>
      <w:lvlText w:val="（%1）"/>
      <w:legacy w:legacy="1" w:legacySpace="0" w:legacyIndent="960"/>
      <w:lvlJc w:val="left"/>
      <w:pPr>
        <w:ind w:left="1600" w:hanging="960"/>
      </w:pPr>
    </w:lvl>
    <w:lvl w:ilvl="1">
      <w:start w:val="1"/>
      <w:numFmt w:val="lowerLetter"/>
      <w:lvlText w:val="%2)"/>
      <w:legacy w:legacy="1" w:legacySpace="0" w:legacyIndent="420"/>
      <w:lvlJc w:val="left"/>
      <w:pPr>
        <w:ind w:left="1480" w:hanging="420"/>
      </w:pPr>
    </w:lvl>
    <w:lvl w:ilvl="2">
      <w:start w:val="1"/>
      <w:numFmt w:val="lowerRoman"/>
      <w:lvlText w:val="%3."/>
      <w:legacy w:legacy="1" w:legacySpace="0" w:legacyIndent="420"/>
      <w:lvlJc w:val="right"/>
      <w:pPr>
        <w:ind w:left="1900" w:hanging="420"/>
      </w:pPr>
    </w:lvl>
    <w:lvl w:ilvl="3">
      <w:start w:val="1"/>
      <w:numFmt w:val="decimal"/>
      <w:lvlText w:val="%4."/>
      <w:legacy w:legacy="1" w:legacySpace="0" w:legacyIndent="420"/>
      <w:lvlJc w:val="left"/>
      <w:pPr>
        <w:ind w:left="2320" w:hanging="420"/>
      </w:pPr>
    </w:lvl>
    <w:lvl w:ilvl="4">
      <w:start w:val="1"/>
      <w:numFmt w:val="lowerLetter"/>
      <w:lvlText w:val="%5)"/>
      <w:legacy w:legacy="1" w:legacySpace="0" w:legacyIndent="420"/>
      <w:lvlJc w:val="left"/>
      <w:pPr>
        <w:ind w:left="2740" w:hanging="420"/>
      </w:pPr>
    </w:lvl>
    <w:lvl w:ilvl="5">
      <w:start w:val="1"/>
      <w:numFmt w:val="lowerRoman"/>
      <w:lvlText w:val="%6."/>
      <w:legacy w:legacy="1" w:legacySpace="0" w:legacyIndent="420"/>
      <w:lvlJc w:val="right"/>
      <w:pPr>
        <w:ind w:left="3160" w:hanging="420"/>
      </w:pPr>
    </w:lvl>
    <w:lvl w:ilvl="6">
      <w:start w:val="1"/>
      <w:numFmt w:val="decimal"/>
      <w:lvlText w:val="%7."/>
      <w:legacy w:legacy="1" w:legacySpace="0" w:legacyIndent="420"/>
      <w:lvlJc w:val="left"/>
      <w:pPr>
        <w:ind w:left="3580" w:hanging="420"/>
      </w:pPr>
    </w:lvl>
    <w:lvl w:ilvl="7">
      <w:start w:val="1"/>
      <w:numFmt w:val="lowerLetter"/>
      <w:lvlText w:val="%8)"/>
      <w:legacy w:legacy="1" w:legacySpace="0" w:legacyIndent="420"/>
      <w:lvlJc w:val="left"/>
      <w:pPr>
        <w:ind w:left="4000" w:hanging="420"/>
      </w:pPr>
    </w:lvl>
    <w:lvl w:ilvl="8">
      <w:start w:val="1"/>
      <w:numFmt w:val="lowerRoman"/>
      <w:lvlText w:val="%9."/>
      <w:legacy w:legacy="1" w:legacySpace="0" w:legacyIndent="420"/>
      <w:lvlJc w:val="right"/>
      <w:pPr>
        <w:ind w:left="4420" w:hanging="420"/>
      </w:pPr>
    </w:lvl>
  </w:abstractNum>
  <w:abstractNum w:abstractNumId="4">
    <w:nsid w:val="2DA7FA7A"/>
    <w:multiLevelType w:val="singleLevel"/>
    <w:tmpl w:val="2DA7FA7A"/>
    <w:lvl w:ilvl="0">
      <w:start w:val="3"/>
      <w:numFmt w:val="decimal"/>
      <w:lvlRestart w:val="0"/>
      <w:suff w:val="nothing"/>
      <w:lvlText w:val="（%1）"/>
      <w:lvlJc w:val="left"/>
      <w:pPr>
        <w:tabs>
          <w:tab w:val="num" w:pos="0"/>
        </w:tabs>
        <w:ind w:left="0" w:hanging="0"/>
      </w:pPr>
    </w:lvl>
  </w:abstractNum>
  <w:abstractNum w:abstractNumId="5">
    <w:nsid w:val="534656DF"/>
    <w:multiLevelType w:val="singleLevel"/>
    <w:tmpl w:val="534656DF"/>
    <w:lvl w:ilvl="0">
      <w:start w:val="1"/>
      <w:numFmt w:val="decimal"/>
      <w:lvlRestart w:val="0"/>
      <w:suff w:val="nothing"/>
      <w:lvlText w:val="（%1）"/>
      <w:lvlJc w:val="left"/>
      <w:pPr>
        <w:tabs>
          <w:tab w:val="num" w:pos="0"/>
        </w:tabs>
        <w:ind w:left="0" w:hanging="0"/>
      </w:pPr>
    </w:lvl>
  </w:abstractNum>
  <w:abstractNum w:abstractNumId="6">
    <w:nsid w:val="628DE21C"/>
    <w:multiLevelType w:val="singleLevel"/>
    <w:tmpl w:val="628DE21C"/>
    <w:lvl w:ilvl="0">
      <w:start w:val="1"/>
      <w:numFmt w:val="decimal"/>
      <w:lvlRestart w:val="0"/>
      <w:lvlText w:val="%1."/>
      <w:lvlJc w:val="left"/>
      <w:pPr>
        <w:tabs>
          <w:tab w:val="num" w:pos="0"/>
        </w:tabs>
        <w:ind w:left="0" w:hanging="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05"/>
  <w:drawingGridVerticalSpacing w:val="159"/>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docVars>
    <w:docVar w:name="commondata" w:val="eyJoZGlkIjoiYTljMzIwNWI0N2JiOWFkZmNmZjIxNDJhODBjMWZiMW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2" w:lineRule="auto"/>
      <w:outlineLvl w:val="3"/>
    </w:pPr>
    <w:rPr>
      <w:rFonts w:ascii="Arial" w:eastAsia="黑体" w:hAnsi="Arial"/>
      <w:b/>
      <w:sz w:val="28"/>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24"/>
      <w:szCs w:val="20"/>
    </w:rPr>
  </w:style>
  <w:style w:type="paragraph" w:styleId="16">
    <w:name w:val="toc 3"/>
    <w:basedOn w:val="0"/>
    <w:next w:val="0"/>
    <w:pPr>
      <w:tabs>
        <w:tab w:val="right" w:leader="dot" w:pos="8296"/>
      </w:tabs>
      <w:ind w:leftChars="400" w:left="400"/>
    </w:pPr>
  </w:style>
  <w:style w:type="paragraph" w:styleId="17">
    <w:name w:val="Plain Text"/>
    <w:basedOn w:val="0"/>
    <w:rPr>
      <w:rFonts w:ascii="宋体"/>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20"/>
    </w:rPr>
  </w:style>
  <w:style w:type="paragraph" w:styleId="20">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paragraph" w:styleId="21">
    <w:name w:val="toc 1"/>
    <w:basedOn w:val="0"/>
    <w:next w:val="0"/>
    <w:pPr>
      <w:tabs>
        <w:tab w:val="right" w:leader="dot" w:pos="8296"/>
      </w:tabs>
      <w:spacing w:before="93"/>
      <w:jc w:val="center"/>
    </w:pPr>
    <w:rPr>
      <w:rFonts w:ascii="仿宋" w:eastAsia="仿宋"/>
      <w:sz w:val="28"/>
      <w:szCs w:val="28"/>
    </w:rPr>
  </w:style>
  <w:style w:type="paragraph" w:styleId="22">
    <w:name w:val="toc 2"/>
    <w:basedOn w:val="0"/>
    <w:next w:val="0"/>
    <w:pPr>
      <w:tabs>
        <w:tab w:val="right" w:leader="dot" w:pos="8296"/>
      </w:tabs>
      <w:ind w:leftChars="200" w:left="200"/>
    </w:pPr>
  </w:style>
  <w:style w:type="character" w:styleId="23">
    <w:name w:val="Strong"/>
    <w:basedOn w:val="10"/>
    <w:rPr>
      <w:b/>
    </w:rPr>
  </w:style>
  <w:style w:type="character" w:styleId="24">
    <w:name w:val="page number"/>
    <w:basedOn w:val="10"/>
  </w:style>
  <w:style w:type="character" w:styleId="25">
    <w:name w:val="Hyperlink"/>
    <w:basedOn w:val="10"/>
    <w:rPr>
      <w:color w:val="0000FF"/>
      <w:u w:val="single"/>
    </w:rPr>
  </w:style>
  <w:style w:type="character" w:customStyle="1" w:styleId="26">
    <w:name w:val="标题 1 字符"/>
    <w:rPr>
      <w:rFonts w:ascii="Times New Roman" w:cs="Times New Roman" w:hAnsi="Times New Roman"/>
      <w:b/>
      <w:bCs/>
      <w:kern w:val="44"/>
      <w:sz w:val="44"/>
      <w:szCs w:val="44"/>
    </w:rPr>
  </w:style>
  <w:style w:type="character" w:customStyle="1" w:styleId="27">
    <w:name w:val="标题 2 字符"/>
    <w:rPr>
      <w:rFonts w:ascii="Cambria" w:eastAsia="宋体" w:cs="Times New Roman" w:hAnsi="Cambria"/>
      <w:b/>
      <w:bCs/>
      <w:kern w:val="2"/>
      <w:sz w:val="32"/>
      <w:szCs w:val="32"/>
    </w:rPr>
  </w:style>
  <w:style w:type="character" w:customStyle="1" w:styleId="28">
    <w:name w:val="Footer Char"/>
    <w:basedOn w:val="10"/>
    <w:rPr>
      <w:rFonts w:ascii="Times New Roman" w:hAnsi="Times New Roman"/>
      <w:sz w:val="18"/>
      <w:szCs w:val="18"/>
    </w:rPr>
  </w:style>
  <w:style w:type="character" w:customStyle="1" w:styleId="29">
    <w:name w:val="font01"/>
    <w:basedOn w:val="10"/>
    <w:rPr>
      <w:rFonts w:ascii="Times New Roman" w:cs="Times New Roman" w:hAnsi="Times New Roman"/>
      <w:color w:val="000000"/>
      <w:sz w:val="24"/>
      <w:szCs w:val="24"/>
      <w:u w:val="none"/>
    </w:rPr>
  </w:style>
  <w:style w:type="character" w:customStyle="1" w:styleId="30">
    <w:name w:val="Header Char"/>
    <w:basedOn w:val="10"/>
    <w:rPr>
      <w:rFonts w:ascii="Times New Roman" w:hAnsi="Times New Roman"/>
      <w:sz w:val="18"/>
      <w:szCs w:val="18"/>
    </w:rPr>
  </w:style>
  <w:style w:type="character" w:customStyle="1" w:styleId="31">
    <w:name w:val="font11"/>
    <w:basedOn w:val="10"/>
    <w:rPr>
      <w:rFonts w:ascii="宋体" w:eastAsia="宋体" w:cs="宋体"/>
      <w:color w:val="000000"/>
      <w:sz w:val="24"/>
      <w:szCs w:val="24"/>
      <w:u w:val="none"/>
    </w:rPr>
  </w:style>
  <w:style w:type="character" w:customStyle="1" w:styleId="32">
    <w:name w:val="Body Text Char"/>
    <w:basedOn w:val="10"/>
    <w:rPr>
      <w:rFonts w:ascii="Times New Roman" w:hAnsi="Times New Roman"/>
      <w:szCs w:val="24"/>
    </w:rPr>
  </w:style>
  <w:style w:type="paragraph" w:styleId="33">
    <w:name w:val="List Paragraph"/>
    <w:basedOn w:val="0"/>
    <w:pPr>
      <w:ind w:firstLineChars="200" w:firstLine="200"/>
    </w:pPr>
  </w:style>
  <w:style w:type="paragraph" w:customStyle="1" w:styleId="34">
    <w:name w:val="TOC 标题1"/>
    <w:basedOn w:val="1"/>
    <w:next w:val="0"/>
    <w:pPr>
      <w:keepNext/>
      <w:keepLines/>
      <w:widowControl/>
      <w:spacing w:before="480" w:after="0" w:line="276" w:lineRule="auto"/>
      <w:jc w:val="left"/>
      <w:outlineLvl w:val="9"/>
    </w:pPr>
    <w:rPr>
      <w:rFonts w:ascii="Cambria" w:hAnsi="Cambria"/>
      <w:color w:val="366091"/>
      <w:kern w:val="0"/>
      <w:sz w:val="28"/>
      <w:szCs w:val="28"/>
    </w:rPr>
  </w:style>
  <w:style w:type="paragraph" w:customStyle="1" w:styleId="35">
    <w:name w:val="TOC 标题2"/>
    <w:basedOn w:val="1"/>
    <w:next w:val="0"/>
    <w:pPr>
      <w:keepNext/>
      <w:keepLines/>
      <w:widowControl/>
      <w:spacing w:before="480" w:after="0" w:line="276" w:lineRule="auto"/>
      <w:jc w:val="left"/>
      <w:outlineLvl w:val="9"/>
    </w:pPr>
    <w:rPr>
      <w:rFonts w:ascii="Cambria" w:hAnsi="Cambria"/>
      <w:color w:val="366091"/>
      <w:kern w:val="0"/>
      <w:sz w:val="28"/>
      <w:szCs w:val="28"/>
    </w:rPr>
  </w:style>
  <w:style w:type="paragraph" w:customStyle="1" w:styleId="36">
    <w:name w:val="Default"/>
    <w:pPr>
      <w:widowControl w:val="0"/>
      <w:autoSpaceDE w:val="0"/>
      <w:autoSpaceDN w:val="0"/>
      <w:adjustRightInd w:val="0"/>
    </w:pPr>
    <w:rPr>
      <w:rFonts w:ascii="仿宋" w:eastAsia="仿宋" w:cs="仿宋" w:hAnsi="Times New Roman"/>
      <w:color w:val="000000"/>
      <w:sz w:val="24"/>
      <w:szCs w:val="24"/>
      <w:lang w:val="en-US" w:eastAsia="zh-CN" w:bidi="ar-SA"/>
    </w:rPr>
  </w:style>
  <w:style w:type="paragraph" w:customStyle="1" w:styleId="37">
    <w:name w:val="List Paragraph1"/>
    <w:basedOn w:val="0"/>
    <w:pPr>
      <w:ind w:firstLineChars="200" w:firstLine="200"/>
    </w:pPr>
  </w:style>
  <w:style w:type="paragraph" w:customStyle="1" w:styleId="38">
    <w:name w:val="BodyText"/>
    <w:basedOn w:val="0"/>
    <w:pPr>
      <w:spacing w:after="120"/>
      <w:ind w:firstLineChars="200" w:firstLine="200"/>
      <w:textAlignment w:val="baseline"/>
    </w:pPr>
    <w:rPr>
      <w:rFonts w:ascii="Calibri" w:hAnsi="Calibri"/>
      <w:sz w:val="32"/>
      <w:szCs w:val="32"/>
    </w:rPr>
  </w:style>
  <w:style w:type="character" w:customStyle="1" w:styleId="39">
    <w:name w:val="NormalCharacter"/>
    <w:rPr>
      <w:kern w:val="2"/>
      <w:sz w:val="21"/>
      <w:szCs w:val="24"/>
      <w:lang w:val="en-US" w:eastAsia="zh-CN" w:bidi="ar-SA"/>
    </w:rPr>
  </w:style>
  <w:style w:type="paragraph" w:customStyle="1" w:styleId="40">
    <w:name w:val="正文2"/>
    <w:basedOn w:val="0"/>
    <w:next w:val="0"/>
    <w:rPr>
      <w:rFonts w:cs="黑体"/>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 Id="rId11" Type="http://schemas.openxmlformats.org/officeDocument/2006/relationships/image" Target="media/5.png"/><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styles" Target="styl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Times New Roman"/>
                <a:ea typeface="Times New Roman"/>
                <a:cs typeface="Lucida Sans"/>
              </a:defRPr>
            </a:pPr>
            <a:r>
              <a:rPr lang="zh-CN"/>
              <a:t>图1：收、支决算总计变动情况图</a:t>
            </a:r>
          </a:p>
        </c:rich>
      </c:tx>
      <c:layout>
        <c:manualLayout>
          <c:xMode val="edge"/>
          <c:yMode val="edge"/>
          <c:x val="0.25714287"/>
          <c:y val="0.017361112"/>
        </c:manualLayout>
      </c:layout>
      <c:overlay val="0"/>
      <c:spPr>
        <a:noFill/>
        <a:ln>
          <a:noFill/>
        </a:ln>
      </c:spPr>
    </c:title>
    <c:autoTitleDeleted val="1"/>
    <c:plotArea>
      <c:layout/>
      <c:barChart>
        <c:barDir val="col"/>
        <c:grouping val="clustered"/>
        <c:varyColors val="0"/>
        <c:ser>
          <c:idx val="0"/>
          <c:order val="0"/>
          <c:tx>
            <c:v>2021年</c:v>
          </c:tx>
          <c:spPr>
            <a:solidFill>
              <a:srgbClr val="4F81BD"/>
            </a:solidFill>
            <a:ln>
              <a:noFill/>
            </a:ln>
          </c:spPr>
          <c:invertIfNegative val="0"/>
          <c:dLbls>
            <c:spPr>
              <a:noFill/>
              <a:ln>
                <a:noFill/>
              </a:ln>
            </c:spPr>
            <c:txPr>
              <a:bodyPr vert="horz"/>
              <a:lstStyle/>
              <a:p>
                <a:pPr>
                  <a:defRPr sz="900" b="0" i="0" u="none" strike="noStrike" baseline="0">
                    <a:solidFill>
                      <a:srgbClr val="707070"/>
                    </a:solidFill>
                    <a:latin typeface="Times New Roman"/>
                    <a:ea typeface="Times New Roman"/>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收入</c:v>
              </c:pt>
              <c:pt idx="1">
                <c:v>支出</c:v>
              </c:pt>
            </c:strLit>
          </c:cat>
          <c:val>
            <c:numRef>
              <c:f/>
              <c:numCache>
                <c:formatCode>General</c:formatCode>
                <c:ptCount val="2"/>
                <c:pt idx="0">
                  <c:v>294.78</c:v>
                </c:pt>
                <c:pt idx="1">
                  <c:v>294.78</c:v>
                </c:pt>
              </c:numCache>
            </c:numRef>
          </c:val>
        </c:ser>
        <c:ser>
          <c:idx val="1"/>
          <c:order val="1"/>
          <c:tx>
            <c:v>2020年</c:v>
          </c:tx>
          <c:spPr>
            <a:solidFill>
              <a:srgbClr val="C0504D"/>
            </a:solidFill>
            <a:ln>
              <a:noFill/>
            </a:ln>
          </c:spPr>
          <c:invertIfNegative val="0"/>
          <c:dLbls>
            <c:spPr>
              <a:noFill/>
              <a:ln>
                <a:noFill/>
              </a:ln>
            </c:spPr>
            <c:txPr>
              <a:bodyPr vert="horz"/>
              <a:lstStyle/>
              <a:p>
                <a:pPr>
                  <a:defRPr sz="900" b="0" i="0" u="none" strike="noStrike" baseline="0">
                    <a:solidFill>
                      <a:srgbClr val="707070"/>
                    </a:solidFill>
                    <a:latin typeface="Times New Roman"/>
                    <a:ea typeface="Times New Roman"/>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收入</c:v>
              </c:pt>
              <c:pt idx="1">
                <c:v>支出</c:v>
              </c:pt>
            </c:strLit>
          </c:cat>
          <c:val>
            <c:numRef>
              <c:f/>
              <c:numCache>
                <c:formatCode>General</c:formatCode>
                <c:ptCount val="2"/>
                <c:pt idx="0">
                  <c:v>241.1</c:v>
                </c:pt>
                <c:pt idx="1">
                  <c:v>241.1</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Times New Roman"/>
                <a:ea typeface="Times New Roman"/>
                <a:cs typeface="Lucida Sans"/>
              </a:defRPr>
            </a:pPr>
            <a:endParaRPr lang="zh-CN"/>
          </a:p>
        </c:txPr>
        <c:crosses val="autoZero"/>
        <c:auto val="1"/>
        <c:lblOffset val="100"/>
        <c:lblAlgn val="ctr"/>
        <c:noMultiLvlLbl val="0"/>
        <c:crossAx val="1"/>
      </c:catAx>
      <c:valAx>
        <c:axId val="1"/>
        <c:scaling>
          <c:orientation val="minMax"/>
          <c:min val="100.0"/>
          <c:max val="300.0"/>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Times New Roman"/>
                <a:ea typeface="Times New Roman"/>
                <a:cs typeface="Lucida Sans"/>
              </a:defRPr>
            </a:pPr>
            <a:endParaRPr lang="zh-CN"/>
          </a:p>
        </c:txPr>
        <c:crossesAt val="1.0"/>
        <c:crossBetween val="between"/>
        <c:majorUnit val="50.0"/>
        <c:crossAx val="0"/>
      </c:valAx>
      <c:spPr>
        <a:noFill/>
        <a:ln>
          <a:noFill/>
        </a:ln>
      </c:spPr>
    </c:plotArea>
    <c:legend>
      <c:legendPos val="b"/>
      <c:layout/>
      <c:overlay val="0"/>
      <c:spPr>
        <a:noFill/>
        <a:ln>
          <a:noFill/>
        </a:ln>
      </c:spPr>
      <c:txPr>
        <a:bodyPr/>
        <a:lstStyle/>
        <a:p>
          <a:pPr>
            <a:defRPr sz="900" b="0" i="0" u="none" strike="noStrike" baseline="0">
              <a:solidFill>
                <a:srgbClr val="939393"/>
              </a:solidFill>
              <a:latin typeface="Times New Roman"/>
              <a:ea typeface="Times New Roman"/>
              <a:cs typeface="Lucida Sans"/>
            </a:defRPr>
          </a:pPr>
          <a:endParaRPr lang="zh-CN"/>
        </a:p>
      </c:txPr>
      <c:legendEntry>
        <c:idx val="0"/>
        <c:txPr>
          <a:bodyPr/>
          <a:lstStyle/>
          <a:p>
            <a:pPr>
              <a:defRPr sz="900" b="0" i="0" u="none" strike="noStrike" baseline="0">
                <a:solidFill>
                  <a:srgbClr val="939393"/>
                </a:solidFill>
                <a:latin typeface="Times New Roman"/>
                <a:ea typeface="Times New Roman"/>
                <a:cs typeface="Lucida Sans"/>
              </a:defRPr>
            </a:pPr>
            <a:endParaRPr lang="zh-CN"/>
          </a:p>
        </c:txPr>
      </c:legendEntry>
      <c:legendEntry>
        <c:idx val="1"/>
        <c:txPr>
          <a:bodyPr/>
          <a:lstStyle/>
          <a:p>
            <a:pPr>
              <a:defRPr sz="900" b="0" i="0" u="none" strike="noStrike" baseline="0">
                <a:solidFill>
                  <a:srgbClr val="939393"/>
                </a:solidFill>
                <a:latin typeface="Times New Roman"/>
                <a:ea typeface="Times New Roman"/>
                <a:cs typeface="Lucida Sans"/>
              </a:defRPr>
            </a:pPr>
            <a:endParaRPr lang="zh-CN"/>
          </a:p>
        </c:txPr>
      </c:legendEntry>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Times New Roman"/>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方正兰亭黑_GBK"/>
                <a:ea typeface="方正兰亭黑_GBK"/>
                <a:cs typeface="Lucida Sans"/>
              </a:defRPr>
            </a:pPr>
            <a:r>
              <a:rPr lang="zh-CN"/>
              <a:t>收入决算结构图</a:t>
            </a:r>
          </a:p>
        </c:rich>
      </c:tx>
      <c:layout/>
      <c:overlay val="0"/>
      <c:spPr>
        <a:noFill/>
        <a:ln>
          <a:noFill/>
        </a:ln>
      </c:spPr>
    </c:title>
    <c:autoTitleDeleted val="1"/>
    <c:plotArea>
      <c:layout/>
      <c:pieChart>
        <c:varyColors val="1"/>
        <c:ser>
          <c:idx val="0"/>
          <c:order val="0"/>
          <c:tx>
            <c:v>一般公共预算财政拨款收入</c:v>
          </c:tx>
          <c:spPr>
            <a:solidFill>
              <a:srgbClr val="4F81BD"/>
            </a:solidFill>
            <a:ln>
              <a:noFill/>
            </a:ln>
          </c:spPr>
          <c:dPt>
            <c:idx val="0"/>
            <c:bubble3D val="0"/>
            <c:spPr>
              <a:solidFill>
                <a:srgbClr val="4F81BD"/>
              </a:solidFill>
              <a:ln w="19050">
                <a:solidFill>
                  <a:srgbClr val="FFFFFF"/>
                </a:solidFill>
                <a:prstDash val="solid"/>
              </a:ln>
            </c:spPr>
          </c:dPt>
          <c:dLbls>
            <c:spPr>
              <a:noFill/>
              <a:ln>
                <a:noFill/>
              </a:ln>
            </c:spPr>
            <c:txPr>
              <a:bodyPr vert="horz"/>
              <a:lstStyle/>
              <a:p>
                <a:pPr>
                  <a:defRPr sz="900" b="0" i="0" u="none" strike="noStrike" baseline="0">
                    <a:solidFill>
                      <a:srgbClr val="707070"/>
                    </a:solidFill>
                    <a:latin typeface="方正兰亭黑_GBK"/>
                    <a:ea typeface="方正兰亭黑_GBK"/>
                    <a:cs typeface="Lucida Sans"/>
                  </a:defRPr>
                </a:pPr>
                <a:endParaRPr lang="zh-CN"/>
              </a:p>
            </c:txPr>
            <c:numFmt formatCode="0%" sourceLinked="0"/>
            <c:showLegendKey val="0"/>
            <c:showVal val="1"/>
            <c:showCatName val="0"/>
            <c:showSerName val="0"/>
            <c:showPercent val="0"/>
            <c:showBubbleSize val="0"/>
            <c:showLeaderLines val="1"/>
          </c:dLbls>
          <c:cat>
            <c:strLit>
              <c:ptCount val="1"/>
              <c:pt idx="0">
                <c:v>一般公共预算财政拨款收入</c:v>
              </c:pt>
            </c:strLit>
          </c:cat>
          <c:val>
            <c:numRef>
              <c:f/>
              <c:numCache>
                <c:formatCode>General</c:formatCode>
                <c:ptCount val="1"/>
                <c:pt idx="0">
                  <c:v>1.0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Times New Roman"/>
                <a:ea typeface="Times New Roman"/>
                <a:cs typeface="Lucida Sans"/>
              </a:defRPr>
            </a:pPr>
            <a:r>
              <a:rPr lang="zh-CN"/>
              <a:t>图3：收入支出决算结构分析</a:t>
            </a:r>
          </a:p>
        </c:rich>
      </c:tx>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spPr>
              <a:noFill/>
              <a:ln>
                <a:noFill/>
              </a:ln>
            </c:spPr>
            <c:txPr>
              <a:bodyPr vert="horz"/>
              <a:lstStyle/>
              <a:p>
                <a:pPr>
                  <a:defRPr sz="900" b="0" i="0" u="none" strike="noStrike" baseline="0">
                    <a:solidFill>
                      <a:srgbClr val="707070"/>
                    </a:solidFill>
                    <a:latin typeface="Times New Roman"/>
                    <a:ea typeface="Times New Roman"/>
                    <a:cs typeface="Lucida Sans"/>
                  </a:defRPr>
                </a:pPr>
                <a:endParaRPr lang="zh-CN"/>
              </a:p>
            </c:txPr>
            <c:numFmt formatCode="0%" sourceLinked="0"/>
            <c:showLegendKey val="0"/>
            <c:showVal val="1"/>
            <c:showCatName val="0"/>
            <c:showSerName val="0"/>
            <c:showPercent val="0"/>
            <c:showBubbleSize val="0"/>
            <c:showLeaderLines val="1"/>
          </c:dLbls>
          <c:cat>
            <c:strLit>
              <c:ptCount val="4"/>
              <c:pt idx="0">
                <c:v>一般公共服务支出</c:v>
              </c:pt>
              <c:pt idx="1">
                <c:v>社会保障和就业支出</c:v>
              </c:pt>
              <c:pt idx="2">
                <c:v>金融支出</c:v>
              </c:pt>
              <c:pt idx="3">
                <c:v>住房保障支出</c:v>
              </c:pt>
            </c:strLit>
          </c:cat>
          <c:val>
            <c:numRef>
              <c:f/>
              <c:numCache>
                <c:formatCode>General</c:formatCode>
                <c:ptCount val="4"/>
                <c:pt idx="0">
                  <c:v>0.09</c:v>
                </c:pt>
                <c:pt idx="1">
                  <c:v>0.0627</c:v>
                </c:pt>
                <c:pt idx="2">
                  <c:v>0.7868</c:v>
                </c:pt>
                <c:pt idx="3">
                  <c:v>0.0605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Times New Roman"/>
              <a:ea typeface="Times New Roman"/>
              <a:cs typeface="Lucida Sans"/>
            </a:defRPr>
          </a:pPr>
          <a:endParaRPr lang="zh-CN"/>
        </a:p>
      </c:txPr>
      <c:legendEntry>
        <c:idx val="0"/>
        <c:txPr>
          <a:bodyPr/>
          <a:lstStyle/>
          <a:p>
            <a:pPr>
              <a:defRPr sz="900" b="0" i="0" u="none" strike="noStrike" baseline="0">
                <a:solidFill>
                  <a:srgbClr val="939393"/>
                </a:solidFill>
                <a:latin typeface="Times New Roman"/>
                <a:ea typeface="Times New Roman"/>
                <a:cs typeface="Lucida Sans"/>
              </a:defRPr>
            </a:pPr>
            <a:endParaRPr lang="zh-CN"/>
          </a:p>
        </c:txPr>
      </c:legendEntry>
      <c:legendEntry>
        <c:idx val="1"/>
        <c:txPr>
          <a:bodyPr/>
          <a:lstStyle/>
          <a:p>
            <a:pPr>
              <a:defRPr sz="900" b="0" i="0" u="none" strike="noStrike" baseline="0">
                <a:solidFill>
                  <a:srgbClr val="939393"/>
                </a:solidFill>
                <a:latin typeface="Times New Roman"/>
                <a:ea typeface="Times New Roman"/>
                <a:cs typeface="Lucida Sans"/>
              </a:defRPr>
            </a:pPr>
            <a:endParaRPr lang="zh-CN"/>
          </a:p>
        </c:txPr>
      </c:legendEntry>
      <c:legendEntry>
        <c:idx val="2"/>
        <c:txPr>
          <a:bodyPr/>
          <a:lstStyle/>
          <a:p>
            <a:pPr>
              <a:defRPr sz="900" b="0" i="0" u="none" strike="noStrike" baseline="0">
                <a:solidFill>
                  <a:srgbClr val="939393"/>
                </a:solidFill>
                <a:latin typeface="Times New Roman"/>
                <a:ea typeface="Times New Roman"/>
                <a:cs typeface="Lucida Sans"/>
              </a:defRPr>
            </a:pPr>
            <a:endParaRPr lang="zh-CN"/>
          </a:p>
        </c:txPr>
      </c:legendEntry>
      <c:legendEntry>
        <c:idx val="3"/>
        <c:txPr>
          <a:bodyPr/>
          <a:lstStyle/>
          <a:p>
            <a:pPr>
              <a:defRPr sz="900" b="0" i="0" u="none" strike="noStrike" baseline="0">
                <a:solidFill>
                  <a:srgbClr val="939393"/>
                </a:solidFill>
                <a:latin typeface="Times New Roman"/>
                <a:ea typeface="Times New Roman"/>
                <a:cs typeface="Lucida Sans"/>
              </a:defRPr>
            </a:pPr>
            <a:endParaRPr lang="zh-CN"/>
          </a:p>
        </c:txPr>
      </c:legendEntry>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Times New Roman"/>
          <a:ea typeface="Times New Roman"/>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00" b="0" i="0" u="none" strike="noStrike" baseline="0">
                <a:solidFill>
                  <a:srgbClr val="939393"/>
                </a:solidFill>
                <a:latin typeface="方正兰亭黑_GBK"/>
                <a:ea typeface="方正兰亭黑_GBK"/>
                <a:cs typeface="Lucida Sans"/>
              </a:defRPr>
            </a:pPr>
            <a:r>
              <a:rPr lang="zh-CN"/>
              <a:t>图5：一般公共预算财政拨款支出决算变动情况</a:t>
            </a:r>
          </a:p>
        </c:rich>
      </c:tx>
      <c:layout>
        <c:manualLayout>
          <c:xMode val="edge"/>
          <c:yMode val="edge"/>
          <c:x val="0.11083333"/>
          <c:y val="0.027777778"/>
        </c:manualLayout>
      </c:layout>
      <c:overlay val="0"/>
      <c:spPr>
        <a:noFill/>
        <a:ln>
          <a:noFill/>
        </a:ln>
      </c:spPr>
    </c:title>
    <c:autoTitleDeleted val="1"/>
    <c:plotArea>
      <c:layout/>
      <c:barChart>
        <c:barDir val="col"/>
        <c:grouping val="clustered"/>
        <c:varyColors val="0"/>
        <c:ser>
          <c:idx val="0"/>
          <c:order val="0"/>
          <c:tx>
            <c:v>一般公共预算财政拨款支出</c:v>
          </c:tx>
          <c:spPr>
            <a:solidFill>
              <a:srgbClr val="4F81BD"/>
            </a:solidFill>
            <a:ln>
              <a:noFill/>
            </a:ln>
          </c:spPr>
          <c:invertIfNegative val="0"/>
          <c:dLbls>
            <c:spPr>
              <a:noFill/>
              <a:ln>
                <a:noFill/>
              </a:ln>
            </c:spPr>
            <c:txPr>
              <a:bodyPr vert="horz"/>
              <a:lstStyle/>
              <a:p>
                <a:pPr>
                  <a:defRPr sz="900" b="0" i="0" u="none" strike="noStrike" baseline="0">
                    <a:solidFill>
                      <a:srgbClr val="707070"/>
                    </a:solidFill>
                    <a:latin typeface="方正兰亭黑_GBK"/>
                    <a:ea typeface="方正兰亭黑_GBK"/>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2021年</c:v>
              </c:pt>
              <c:pt idx="1">
                <c:v>2020年</c:v>
              </c:pt>
            </c:strLit>
          </c:cat>
          <c:val>
            <c:numRef>
              <c:f/>
              <c:numCache>
                <c:formatCode>General</c:formatCode>
                <c:ptCount val="2"/>
                <c:pt idx="0">
                  <c:v>294.78</c:v>
                </c:pt>
                <c:pt idx="1">
                  <c:v>241.1</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方正兰亭黑_GBK"/>
                <a:ea typeface="方正兰亭黑_GBK"/>
                <a:cs typeface="Lucida Sans"/>
              </a:defRPr>
            </a:pPr>
            <a:r>
              <a:rPr lang="zh-CN"/>
              <a:t>图6：一般公共预算财政拨款支出决算结构</a:t>
            </a:r>
          </a:p>
        </c:rich>
      </c:tx>
      <c:layout>
        <c:manualLayout>
          <c:xMode val="edge"/>
          <c:yMode val="edge"/>
          <c:x val="0.14777778"/>
          <c:y val="0.017361112"/>
        </c:manualLayout>
      </c:layout>
      <c:overlay val="0"/>
      <c:spPr>
        <a:noFill/>
        <a:ln>
          <a:noFill/>
        </a:ln>
      </c:spPr>
    </c:title>
    <c:autoTitleDeleted val="1"/>
    <c:plotArea>
      <c:layout/>
      <c:pieChart>
        <c:varyColors val="1"/>
        <c:ser>
          <c:idx val="0"/>
          <c:order val="0"/>
          <c:spPr>
            <a:solidFill>
              <a:srgbClr val="4F81BD"/>
            </a:solidFill>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spPr>
              <a:noFill/>
              <a:ln>
                <a:noFill/>
              </a:ln>
            </c:spPr>
            <c:txPr>
              <a:bodyPr vert="horz"/>
              <a:lstStyle/>
              <a:p>
                <a:pPr>
                  <a:defRPr sz="900" b="0" i="0" u="none" strike="noStrike" baseline="0">
                    <a:solidFill>
                      <a:srgbClr val="707070"/>
                    </a:solidFill>
                    <a:latin typeface="方正兰亭黑_GBK"/>
                    <a:ea typeface="方正兰亭黑_GBK"/>
                    <a:cs typeface="Lucida Sans"/>
                  </a:defRPr>
                </a:pPr>
                <a:endParaRPr lang="zh-CN"/>
              </a:p>
            </c:txPr>
            <c:numFmt formatCode="0%" sourceLinked="0"/>
            <c:showLegendKey val="0"/>
            <c:showVal val="1"/>
            <c:showCatName val="0"/>
            <c:showSerName val="0"/>
            <c:showPercent val="0"/>
            <c:showBubbleSize val="0"/>
            <c:showLeaderLines val="1"/>
          </c:dLbls>
          <c:cat>
            <c:strLit>
              <c:ptCount val="4"/>
              <c:pt idx="0">
                <c:v>一般公共服务支出</c:v>
              </c:pt>
              <c:pt idx="1">
                <c:v>社会保障和就业支出</c:v>
              </c:pt>
              <c:pt idx="2">
                <c:v>金融支出</c:v>
              </c:pt>
              <c:pt idx="3">
                <c:v>住房保障支出</c:v>
              </c:pt>
            </c:strLit>
          </c:cat>
          <c:val>
            <c:numRef>
              <c:f/>
              <c:numCache>
                <c:formatCode>General</c:formatCode>
                <c:ptCount val="4"/>
                <c:pt idx="0">
                  <c:v>0.09</c:v>
                </c:pt>
                <c:pt idx="1">
                  <c:v>0.0627</c:v>
                </c:pt>
                <c:pt idx="2">
                  <c:v>0.7868</c:v>
                </c:pt>
                <c:pt idx="3">
                  <c:v>0.0605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187C599F-FCDB-419E-B1CB-CC1F2AF3202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40</TotalTime>
  <Application>Yozo_Office27021597764231179</Application>
  <Pages>4</Pages>
  <Words>0</Words>
  <Characters>18660</Characters>
  <Lines>0</Lines>
  <Paragraphs>477</Paragraphs>
  <CharactersWithSpaces>24880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吴启利</dc:creator>
  <cp:lastModifiedBy>user</cp:lastModifiedBy>
  <cp:revision>4</cp:revision>
  <cp:lastPrinted>2022-09-15T07:45:00Z</cp:lastPrinted>
  <dcterms:created xsi:type="dcterms:W3CDTF">2021-09-09T10:33:00Z</dcterms:created>
  <dcterms:modified xsi:type="dcterms:W3CDTF">2023-10-13T09:25:32Z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FBEDDC2B57EE4F7E8F5B3CF47B18447E</vt:lpwstr>
  </property>
</Properties>
</file>