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jc w:val="center"/>
        <w:rPr>
          <w:rFonts w:eastAsia="方正小标宋_GBK"/>
          <w:sz w:val="44"/>
          <w:szCs w:val="44"/>
        </w:rPr>
      </w:pPr>
    </w:p>
    <w:p>
      <w:pPr>
        <w:jc w:val="center"/>
        <w:rPr>
          <w:rFonts w:eastAsia="方正小标宋_GBK"/>
          <w:sz w:val="72"/>
          <w:szCs w:val="72"/>
        </w:rPr>
      </w:pPr>
      <w:bookmarkStart w:id="1" w:name="_Toc8797"/>
      <w:bookmarkStart w:id="2" w:name="_Toc15377425"/>
      <w:bookmarkStart w:id="3" w:name="_Toc15377193"/>
      <w:bookmarkStart w:id="4" w:name="_Toc15396597"/>
      <w:bookmarkStart w:id="5" w:name="_Toc15378441"/>
      <w:bookmarkStart w:id="6" w:name="_Toc15396475"/>
    </w:p>
    <w:p>
      <w:pPr>
        <w:jc w:val="center"/>
        <w:rPr>
          <w:rFonts w:eastAsia="方正小标宋_GBK"/>
          <w:sz w:val="72"/>
          <w:szCs w:val="72"/>
        </w:rPr>
      </w:pPr>
    </w:p>
    <w:p>
      <w:pPr>
        <w:pStyle w:val="2"/>
        <w:rPr>
          <w:rFonts w:eastAsia="方正小标宋_GBK"/>
          <w:sz w:val="72"/>
          <w:szCs w:val="72"/>
        </w:rPr>
      </w:pPr>
    </w:p>
    <w:p>
      <w:pPr>
        <w:pStyle w:val="2"/>
        <w:rPr>
          <w:rFonts w:eastAsia="方正小标宋_GBK"/>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w:t>
      </w:r>
      <w:bookmarkEnd w:id="1"/>
      <w:bookmarkEnd w:id="2"/>
      <w:bookmarkEnd w:id="3"/>
      <w:bookmarkEnd w:id="4"/>
      <w:bookmarkEnd w:id="5"/>
      <w:bookmarkEnd w:id="6"/>
    </w:p>
    <w:p>
      <w:pPr>
        <w:jc w:val="center"/>
        <w:rPr>
          <w:rFonts w:eastAsia="方正小标宋_GBK"/>
          <w:sz w:val="72"/>
          <w:szCs w:val="72"/>
        </w:rPr>
      </w:pPr>
      <w:bookmarkStart w:id="7" w:name="_Toc15396476"/>
      <w:bookmarkStart w:id="8" w:name="_Toc15396598"/>
      <w:bookmarkStart w:id="9" w:name="_Toc264"/>
      <w:bookmarkStart w:id="10" w:name="_Toc15377426"/>
      <w:bookmarkStart w:id="11" w:name="_Toc15377194"/>
      <w:bookmarkStart w:id="12" w:name="_Toc15378442"/>
      <w:r>
        <w:rPr>
          <w:rFonts w:hint="eastAsia" w:ascii="方正小标宋_GBK" w:hAnsi="方正小标宋_GBK" w:eastAsia="方正小标宋_GBK" w:cs="方正小标宋_GBK"/>
          <w:sz w:val="72"/>
          <w:szCs w:val="72"/>
        </w:rPr>
        <w:t>攀枝花市</w:t>
      </w:r>
      <w:bookmarkEnd w:id="0"/>
      <w:bookmarkStart w:id="13" w:name="_Toc15306268"/>
      <w:r>
        <w:rPr>
          <w:rFonts w:hint="eastAsia" w:ascii="方正小标宋_GBK" w:hAnsi="方正小标宋_GBK" w:eastAsia="方正小标宋_GBK" w:cs="方正小标宋_GBK"/>
          <w:sz w:val="72"/>
          <w:szCs w:val="72"/>
        </w:rPr>
        <w:t>人民政府办公室单位决算</w:t>
      </w:r>
      <w:bookmarkEnd w:id="7"/>
      <w:bookmarkEnd w:id="8"/>
      <w:bookmarkEnd w:id="9"/>
      <w:bookmarkEnd w:id="10"/>
      <w:bookmarkEnd w:id="11"/>
      <w:bookmarkEnd w:id="12"/>
      <w:bookmarkEnd w:id="13"/>
    </w:p>
    <w:p>
      <w:pPr>
        <w:jc w:val="center"/>
        <w:rPr>
          <w:rFonts w:ascii="黑体" w:hAnsi="黑体" w:eastAsia="黑体"/>
          <w:sz w:val="36"/>
          <w:szCs w:val="36"/>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pPr>
    </w:p>
    <w:p>
      <w:pPr>
        <w:jc w:val="center"/>
        <w:rPr>
          <w:rFonts w:ascii="黑体" w:hAnsi="黑体" w:eastAsia="黑体" w:cstheme="minorBidi"/>
          <w:sz w:val="28"/>
          <w:szCs w:val="28"/>
        </w:rPr>
      </w:pPr>
      <w:r>
        <w:rPr>
          <w:rFonts w:hint="eastAsia" w:ascii="黑体" w:hAnsi="黑体" w:eastAsia="黑体"/>
          <w:sz w:val="36"/>
          <w:szCs w:val="36"/>
        </w:rPr>
        <w:t>目　　录</w:t>
      </w:r>
    </w:p>
    <w:p>
      <w:pPr>
        <w:pStyle w:val="10"/>
        <w:rPr>
          <w:rFonts w:ascii="Times New Roman" w:hAnsi="Times New Roman"/>
          <w:sz w:val="15"/>
          <w:szCs w:val="15"/>
        </w:rPr>
      </w:pPr>
    </w:p>
    <w:p>
      <w:pPr>
        <w:pStyle w:val="10"/>
        <w:rPr>
          <w:rFonts w:ascii="Times New Roman" w:hAnsi="Times New Roman"/>
        </w:rPr>
      </w:pPr>
      <w:r>
        <w:rPr>
          <w:rFonts w:ascii="Times New Roman" w:hAnsi="Times New Roman"/>
        </w:rPr>
        <w:t>公开时间：2023年9月</w:t>
      </w:r>
      <w:r>
        <w:rPr>
          <w:rFonts w:hint="eastAsia" w:ascii="Times New Roman" w:hAnsi="Times New Roman"/>
          <w:lang w:val="en-US" w:eastAsia="zh-CN"/>
        </w:rPr>
        <w:t>14</w:t>
      </w:r>
      <w:bookmarkStart w:id="113" w:name="_GoBack"/>
      <w:bookmarkEnd w:id="113"/>
      <w:r>
        <w:rPr>
          <w:rFonts w:ascii="Times New Roman" w:hAnsi="Times New Roman"/>
        </w:rPr>
        <w:t>日</w:t>
      </w:r>
    </w:p>
    <w:p/>
    <w:p>
      <w:pPr>
        <w:pStyle w:val="10"/>
        <w:adjustRightInd w:val="0"/>
        <w:snapToGrid w:val="0"/>
        <w:spacing w:before="0" w:line="300" w:lineRule="auto"/>
        <w:jc w:val="left"/>
        <w:rPr>
          <w:rFonts w:ascii="Times New Roman" w:hAnsi="Times New Roman"/>
          <w:sz w:val="32"/>
          <w:szCs w:val="32"/>
        </w:rPr>
      </w:pPr>
      <w:bookmarkStart w:id="14" w:name="_Toc15396599"/>
      <w:bookmarkStart w:id="15" w:name="_Toc15377196"/>
      <w:r>
        <w:rPr>
          <w:rFonts w:hint="eastAsia"/>
          <w:sz w:val="24"/>
        </w:rPr>
        <w:fldChar w:fldCharType="begin"/>
      </w:r>
      <w:r>
        <w:rPr>
          <w:rFonts w:hint="eastAsia"/>
          <w:sz w:val="24"/>
        </w:rPr>
        <w:instrText xml:space="preserve">TOC \o "1-3" \f \h \u </w:instrText>
      </w:r>
      <w:r>
        <w:rPr>
          <w:rFonts w:hint="eastAsia"/>
          <w:sz w:val="24"/>
        </w:rPr>
        <w:fldChar w:fldCharType="separate"/>
      </w:r>
      <w:r>
        <w:fldChar w:fldCharType="begin"/>
      </w:r>
      <w:r>
        <w:instrText xml:space="preserve"> HYPERLINK \l "_Toc24049" </w:instrText>
      </w:r>
      <w:r>
        <w:fldChar w:fldCharType="separate"/>
      </w:r>
      <w:r>
        <w:rPr>
          <w:rFonts w:ascii="Times New Roman" w:hAnsi="Times New Roman"/>
          <w:sz w:val="32"/>
          <w:szCs w:val="32"/>
        </w:rPr>
        <w:t>第一部分</w:t>
      </w:r>
      <w:r>
        <w:rPr>
          <w:rFonts w:hint="eastAsia" w:ascii="Times New Roman" w:hAnsi="Times New Roman"/>
          <w:sz w:val="32"/>
          <w:szCs w:val="32"/>
        </w:rPr>
        <w:t>　</w:t>
      </w:r>
      <w:r>
        <w:rPr>
          <w:rFonts w:ascii="Times New Roman" w:hAnsi="Times New Roman"/>
          <w:sz w:val="32"/>
          <w:szCs w:val="32"/>
        </w:rPr>
        <w:t>单位概况</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_Toc24049 \h </w:instrText>
      </w:r>
      <w:r>
        <w:rPr>
          <w:rFonts w:ascii="Times New Roman" w:hAnsi="Times New Roman"/>
          <w:sz w:val="32"/>
          <w:szCs w:val="32"/>
        </w:rPr>
        <w:fldChar w:fldCharType="separate"/>
      </w:r>
      <w:r>
        <w:rPr>
          <w:rFonts w:ascii="Times New Roman" w:hAnsi="Times New Roman"/>
          <w:sz w:val="32"/>
          <w:szCs w:val="32"/>
        </w:rPr>
        <w:t>4</w:t>
      </w:r>
      <w:r>
        <w:rPr>
          <w:rFonts w:ascii="Times New Roman" w:hAnsi="Times New Roman"/>
          <w:sz w:val="32"/>
          <w:szCs w:val="32"/>
        </w:rPr>
        <w:fldChar w:fldCharType="end"/>
      </w:r>
      <w:r>
        <w:rPr>
          <w:rFonts w:ascii="Times New Roman" w:hAnsi="Times New Roman"/>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"_Toc23852" </w:instrText>
      </w:r>
      <w:r>
        <w:fldChar w:fldCharType="separate"/>
      </w:r>
      <w:r>
        <w:rPr>
          <w:rFonts w:eastAsia="仿宋"/>
          <w:sz w:val="32"/>
          <w:szCs w:val="32"/>
        </w:rPr>
        <w:t>一、主要职责</w:t>
      </w:r>
      <w:r>
        <w:rPr>
          <w:rFonts w:eastAsia="仿宋"/>
          <w:sz w:val="32"/>
          <w:szCs w:val="32"/>
        </w:rPr>
        <w:tab/>
      </w:r>
      <w:r>
        <w:rPr>
          <w:rFonts w:eastAsia="仿宋"/>
          <w:sz w:val="32"/>
          <w:szCs w:val="32"/>
        </w:rPr>
        <w:fldChar w:fldCharType="begin"/>
      </w:r>
      <w:r>
        <w:rPr>
          <w:rFonts w:eastAsia="仿宋"/>
          <w:sz w:val="32"/>
          <w:szCs w:val="32"/>
        </w:rPr>
        <w:instrText xml:space="preserve"> PAGEREF _Toc23852 \h </w:instrText>
      </w:r>
      <w:r>
        <w:rPr>
          <w:rFonts w:eastAsia="仿宋"/>
          <w:sz w:val="32"/>
          <w:szCs w:val="32"/>
        </w:rPr>
        <w:fldChar w:fldCharType="separate"/>
      </w:r>
      <w:r>
        <w:rPr>
          <w:rFonts w:eastAsia="仿宋"/>
          <w:sz w:val="32"/>
          <w:szCs w:val="32"/>
        </w:rPr>
        <w:t>4</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"_Toc23431" </w:instrText>
      </w:r>
      <w:r>
        <w:fldChar w:fldCharType="separate"/>
      </w:r>
      <w:r>
        <w:rPr>
          <w:rFonts w:eastAsia="仿宋"/>
          <w:sz w:val="32"/>
          <w:szCs w:val="32"/>
        </w:rPr>
        <w:t>二、机构设置</w:t>
      </w:r>
      <w:r>
        <w:rPr>
          <w:rFonts w:eastAsia="仿宋"/>
          <w:sz w:val="32"/>
          <w:szCs w:val="32"/>
        </w:rPr>
        <w:tab/>
      </w:r>
      <w:r>
        <w:rPr>
          <w:rFonts w:eastAsia="仿宋"/>
          <w:sz w:val="32"/>
          <w:szCs w:val="32"/>
        </w:rPr>
        <w:fldChar w:fldCharType="begin"/>
      </w:r>
      <w:r>
        <w:rPr>
          <w:rFonts w:eastAsia="仿宋"/>
          <w:sz w:val="32"/>
          <w:szCs w:val="32"/>
        </w:rPr>
        <w:instrText xml:space="preserve"> PAGEREF _Toc23431 \h </w:instrText>
      </w:r>
      <w:r>
        <w:rPr>
          <w:rFonts w:eastAsia="仿宋"/>
          <w:sz w:val="32"/>
          <w:szCs w:val="32"/>
        </w:rPr>
        <w:fldChar w:fldCharType="separate"/>
      </w:r>
      <w:r>
        <w:rPr>
          <w:rFonts w:eastAsia="仿宋"/>
          <w:sz w:val="32"/>
          <w:szCs w:val="32"/>
        </w:rPr>
        <w:t>7</w:t>
      </w:r>
      <w:r>
        <w:rPr>
          <w:rFonts w:eastAsia="仿宋"/>
          <w:sz w:val="32"/>
          <w:szCs w:val="32"/>
        </w:rPr>
        <w:fldChar w:fldCharType="end"/>
      </w:r>
      <w:r>
        <w:rPr>
          <w:rFonts w:eastAsia="仿宋"/>
          <w:sz w:val="32"/>
          <w:szCs w:val="32"/>
        </w:rPr>
        <w:fldChar w:fldCharType="end"/>
      </w:r>
    </w:p>
    <w:p>
      <w:pPr>
        <w:pStyle w:val="10"/>
        <w:adjustRightInd w:val="0"/>
        <w:snapToGrid w:val="0"/>
        <w:spacing w:before="0" w:line="300" w:lineRule="auto"/>
        <w:jc w:val="left"/>
        <w:rPr>
          <w:rFonts w:ascii="Times New Roman" w:hAnsi="Times New Roman"/>
          <w:sz w:val="32"/>
          <w:szCs w:val="32"/>
        </w:rPr>
      </w:pPr>
      <w:r>
        <w:fldChar w:fldCharType="begin"/>
      </w:r>
      <w:r>
        <w:instrText xml:space="preserve"> HYPERLINK \l "_Toc29316" </w:instrText>
      </w:r>
      <w:r>
        <w:fldChar w:fldCharType="separate"/>
      </w:r>
      <w:r>
        <w:rPr>
          <w:rFonts w:ascii="Times New Roman" w:hAnsi="Times New Roman"/>
          <w:sz w:val="32"/>
          <w:szCs w:val="32"/>
        </w:rPr>
        <w:t>第二部分</w:t>
      </w:r>
      <w:r>
        <w:rPr>
          <w:rFonts w:hint="eastAsia" w:ascii="Times New Roman" w:hAnsi="Times New Roman"/>
          <w:sz w:val="32"/>
          <w:szCs w:val="32"/>
        </w:rPr>
        <w:t>　</w:t>
      </w:r>
      <w:r>
        <w:rPr>
          <w:rFonts w:ascii="Times New Roman" w:hAnsi="Times New Roman"/>
          <w:sz w:val="32"/>
          <w:szCs w:val="32"/>
        </w:rPr>
        <w:t>2022年度单位决算情况说明</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_Toc29316 \h </w:instrText>
      </w:r>
      <w:r>
        <w:rPr>
          <w:rFonts w:ascii="Times New Roman" w:hAnsi="Times New Roman"/>
          <w:sz w:val="32"/>
          <w:szCs w:val="32"/>
        </w:rPr>
        <w:fldChar w:fldCharType="separate"/>
      </w:r>
      <w:r>
        <w:rPr>
          <w:rFonts w:ascii="Times New Roman" w:hAnsi="Times New Roman"/>
          <w:sz w:val="32"/>
          <w:szCs w:val="32"/>
        </w:rPr>
        <w:t>8</w:t>
      </w:r>
      <w:r>
        <w:rPr>
          <w:rFonts w:ascii="Times New Roman" w:hAnsi="Times New Roman"/>
          <w:sz w:val="32"/>
          <w:szCs w:val="32"/>
        </w:rPr>
        <w:fldChar w:fldCharType="end"/>
      </w:r>
      <w:r>
        <w:rPr>
          <w:rFonts w:ascii="Times New Roman" w:hAnsi="Times New Roman"/>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"_Toc9431" </w:instrText>
      </w:r>
      <w:r>
        <w:fldChar w:fldCharType="separate"/>
      </w:r>
      <w:r>
        <w:rPr>
          <w:rFonts w:eastAsia="仿宋"/>
          <w:sz w:val="32"/>
          <w:szCs w:val="32"/>
        </w:rPr>
        <w:t>一、收入支出决算总体情况说明</w:t>
      </w:r>
      <w:r>
        <w:rPr>
          <w:rFonts w:eastAsia="仿宋"/>
          <w:sz w:val="32"/>
          <w:szCs w:val="32"/>
        </w:rPr>
        <w:tab/>
      </w:r>
      <w:r>
        <w:rPr>
          <w:rFonts w:eastAsia="仿宋"/>
          <w:sz w:val="32"/>
          <w:szCs w:val="32"/>
        </w:rPr>
        <w:fldChar w:fldCharType="begin"/>
      </w:r>
      <w:r>
        <w:rPr>
          <w:rFonts w:eastAsia="仿宋"/>
          <w:sz w:val="32"/>
          <w:szCs w:val="32"/>
        </w:rPr>
        <w:instrText xml:space="preserve"> PAGEREF _Toc9431 \h </w:instrText>
      </w:r>
      <w:r>
        <w:rPr>
          <w:rFonts w:eastAsia="仿宋"/>
          <w:sz w:val="32"/>
          <w:szCs w:val="32"/>
        </w:rPr>
        <w:fldChar w:fldCharType="separate"/>
      </w:r>
      <w:r>
        <w:rPr>
          <w:rFonts w:eastAsia="仿宋"/>
          <w:sz w:val="32"/>
          <w:szCs w:val="32"/>
        </w:rPr>
        <w:t>8</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"_Toc24495" </w:instrText>
      </w:r>
      <w:r>
        <w:fldChar w:fldCharType="separate"/>
      </w:r>
      <w:r>
        <w:rPr>
          <w:rFonts w:eastAsia="仿宋"/>
          <w:sz w:val="32"/>
          <w:szCs w:val="32"/>
        </w:rPr>
        <w:t>二、收入决算情况说明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_Toc24495 \h </w:instrText>
      </w:r>
      <w:r>
        <w:rPr>
          <w:rFonts w:eastAsia="仿宋"/>
          <w:sz w:val="32"/>
          <w:szCs w:val="32"/>
        </w:rPr>
        <w:fldChar w:fldCharType="separate"/>
      </w:r>
      <w:r>
        <w:rPr>
          <w:rFonts w:eastAsia="仿宋"/>
          <w:sz w:val="32"/>
          <w:szCs w:val="32"/>
        </w:rPr>
        <w:t>8</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"_Toc12039" </w:instrText>
      </w:r>
      <w:r>
        <w:fldChar w:fldCharType="separate"/>
      </w:r>
      <w:r>
        <w:rPr>
          <w:rFonts w:eastAsia="仿宋"/>
          <w:sz w:val="32"/>
          <w:szCs w:val="32"/>
        </w:rPr>
        <w:t>三、支出决算情况说明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_Toc12039 \h </w:instrText>
      </w:r>
      <w:r>
        <w:rPr>
          <w:rFonts w:eastAsia="仿宋"/>
          <w:sz w:val="32"/>
          <w:szCs w:val="32"/>
        </w:rPr>
        <w:fldChar w:fldCharType="separate"/>
      </w:r>
      <w:r>
        <w:rPr>
          <w:rFonts w:eastAsia="仿宋"/>
          <w:sz w:val="32"/>
          <w:szCs w:val="32"/>
        </w:rPr>
        <w:t>9</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"_Toc15292" </w:instrText>
      </w:r>
      <w:r>
        <w:fldChar w:fldCharType="separate"/>
      </w:r>
      <w:r>
        <w:rPr>
          <w:rFonts w:eastAsia="仿宋"/>
          <w:sz w:val="32"/>
          <w:szCs w:val="32"/>
        </w:rPr>
        <w:t>四、财政拨款收入支出决算总体情况说明</w:t>
      </w:r>
      <w:r>
        <w:rPr>
          <w:rFonts w:eastAsia="仿宋"/>
          <w:sz w:val="32"/>
          <w:szCs w:val="32"/>
        </w:rPr>
        <w:tab/>
      </w:r>
      <w:r>
        <w:rPr>
          <w:rFonts w:eastAsia="仿宋"/>
          <w:sz w:val="32"/>
          <w:szCs w:val="32"/>
        </w:rPr>
        <w:fldChar w:fldCharType="begin"/>
      </w:r>
      <w:r>
        <w:rPr>
          <w:rFonts w:eastAsia="仿宋"/>
          <w:sz w:val="32"/>
          <w:szCs w:val="32"/>
        </w:rPr>
        <w:instrText xml:space="preserve"> PAGEREF _Toc15292 \h </w:instrText>
      </w:r>
      <w:r>
        <w:rPr>
          <w:rFonts w:eastAsia="仿宋"/>
          <w:sz w:val="32"/>
          <w:szCs w:val="32"/>
        </w:rPr>
        <w:fldChar w:fldCharType="separate"/>
      </w:r>
      <w:r>
        <w:rPr>
          <w:rFonts w:eastAsia="仿宋"/>
          <w:sz w:val="32"/>
          <w:szCs w:val="32"/>
        </w:rPr>
        <w:t>10</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"_Toc26618" </w:instrText>
      </w:r>
      <w:r>
        <w:fldChar w:fldCharType="separate"/>
      </w:r>
      <w:r>
        <w:rPr>
          <w:rFonts w:eastAsia="仿宋"/>
          <w:sz w:val="32"/>
          <w:szCs w:val="32"/>
        </w:rPr>
        <w:t>五、一般公共预算财政拨款支出决算情况说明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_Toc26618 \h </w:instrText>
      </w:r>
      <w:r>
        <w:rPr>
          <w:rFonts w:eastAsia="仿宋"/>
          <w:sz w:val="32"/>
          <w:szCs w:val="32"/>
        </w:rPr>
        <w:fldChar w:fldCharType="separate"/>
      </w:r>
      <w:r>
        <w:rPr>
          <w:rFonts w:eastAsia="仿宋"/>
          <w:sz w:val="32"/>
          <w:szCs w:val="32"/>
        </w:rPr>
        <w:t>10</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"_Toc31827" </w:instrText>
      </w:r>
      <w:r>
        <w:fldChar w:fldCharType="separate"/>
      </w:r>
      <w:r>
        <w:rPr>
          <w:rFonts w:eastAsia="仿宋"/>
          <w:sz w:val="32"/>
          <w:szCs w:val="32"/>
        </w:rPr>
        <w:t>六、一般公共预算财政拨款基本支出决算情况说明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_Toc31827 \h </w:instrText>
      </w:r>
      <w:r>
        <w:rPr>
          <w:rFonts w:eastAsia="仿宋"/>
          <w:sz w:val="32"/>
          <w:szCs w:val="32"/>
        </w:rPr>
        <w:fldChar w:fldCharType="separate"/>
      </w:r>
      <w:r>
        <w:rPr>
          <w:rFonts w:eastAsia="仿宋"/>
          <w:sz w:val="32"/>
          <w:szCs w:val="32"/>
        </w:rPr>
        <w:t>13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"_Toc12726" </w:instrText>
      </w:r>
      <w:r>
        <w:fldChar w:fldCharType="separate"/>
      </w:r>
      <w:r>
        <w:rPr>
          <w:rFonts w:eastAsia="仿宋"/>
          <w:sz w:val="32"/>
          <w:szCs w:val="32"/>
        </w:rPr>
        <w:t>七、财政拨款“三公”经费支出决算情况说明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_Toc12726 \h </w:instrText>
      </w:r>
      <w:r>
        <w:rPr>
          <w:rFonts w:eastAsia="仿宋"/>
          <w:sz w:val="32"/>
          <w:szCs w:val="32"/>
        </w:rPr>
        <w:fldChar w:fldCharType="separate"/>
      </w:r>
      <w:r>
        <w:rPr>
          <w:rFonts w:eastAsia="仿宋"/>
          <w:sz w:val="32"/>
          <w:szCs w:val="32"/>
        </w:rPr>
        <w:t>14</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"_Toc2612" </w:instrText>
      </w:r>
      <w:r>
        <w:fldChar w:fldCharType="separate"/>
      </w:r>
      <w:r>
        <w:rPr>
          <w:rFonts w:eastAsia="仿宋"/>
          <w:sz w:val="32"/>
          <w:szCs w:val="32"/>
        </w:rPr>
        <w:t>八、政府性基金预算支出决算情况说明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_Toc2612 \h </w:instrText>
      </w:r>
      <w:r>
        <w:rPr>
          <w:rFonts w:eastAsia="仿宋"/>
          <w:sz w:val="32"/>
          <w:szCs w:val="32"/>
        </w:rPr>
        <w:fldChar w:fldCharType="separate"/>
      </w:r>
      <w:r>
        <w:rPr>
          <w:rFonts w:eastAsia="仿宋"/>
          <w:sz w:val="32"/>
          <w:szCs w:val="32"/>
        </w:rPr>
        <w:t>16</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"_Toc31161" </w:instrText>
      </w:r>
      <w:r>
        <w:fldChar w:fldCharType="separate"/>
      </w:r>
      <w:r>
        <w:rPr>
          <w:rFonts w:eastAsia="仿宋"/>
          <w:sz w:val="32"/>
          <w:szCs w:val="32"/>
        </w:rPr>
        <w:t>九、国有资本经营预算支出决算情况说明</w:t>
      </w:r>
      <w:r>
        <w:rPr>
          <w:rFonts w:eastAsia="仿宋"/>
          <w:sz w:val="32"/>
          <w:szCs w:val="32"/>
        </w:rPr>
        <w:tab/>
      </w:r>
      <w:r>
        <w:rPr>
          <w:rFonts w:eastAsia="仿宋"/>
          <w:sz w:val="32"/>
          <w:szCs w:val="32"/>
        </w:rPr>
        <w:fldChar w:fldCharType="begin"/>
      </w:r>
      <w:r>
        <w:rPr>
          <w:rFonts w:eastAsia="仿宋"/>
          <w:sz w:val="32"/>
          <w:szCs w:val="32"/>
        </w:rPr>
        <w:instrText xml:space="preserve"> PAGEREF _Toc31161 \h </w:instrText>
      </w:r>
      <w:r>
        <w:rPr>
          <w:rFonts w:eastAsia="仿宋"/>
          <w:sz w:val="32"/>
          <w:szCs w:val="32"/>
        </w:rPr>
        <w:fldChar w:fldCharType="separate"/>
      </w:r>
      <w:r>
        <w:rPr>
          <w:rFonts w:eastAsia="仿宋"/>
          <w:sz w:val="32"/>
          <w:szCs w:val="32"/>
        </w:rPr>
        <w:t>16</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"_Toc32542" </w:instrText>
      </w:r>
      <w:r>
        <w:fldChar w:fldCharType="separate"/>
      </w:r>
      <w:r>
        <w:rPr>
          <w:rFonts w:eastAsia="仿宋"/>
          <w:sz w:val="32"/>
          <w:szCs w:val="32"/>
        </w:rPr>
        <w:t>十、其他重要事项的情况说明</w:t>
      </w:r>
      <w:r>
        <w:rPr>
          <w:rFonts w:eastAsia="仿宋"/>
          <w:sz w:val="32"/>
          <w:szCs w:val="32"/>
        </w:rPr>
        <w:tab/>
      </w:r>
      <w:r>
        <w:rPr>
          <w:rFonts w:eastAsia="仿宋"/>
          <w:sz w:val="32"/>
          <w:szCs w:val="32"/>
        </w:rPr>
        <w:fldChar w:fldCharType="begin"/>
      </w:r>
      <w:r>
        <w:rPr>
          <w:rFonts w:eastAsia="仿宋"/>
          <w:sz w:val="32"/>
          <w:szCs w:val="32"/>
        </w:rPr>
        <w:instrText xml:space="preserve"> PAGEREF _Toc32542 \h </w:instrText>
      </w:r>
      <w:r>
        <w:rPr>
          <w:rFonts w:eastAsia="仿宋"/>
          <w:sz w:val="32"/>
          <w:szCs w:val="32"/>
        </w:rPr>
        <w:fldChar w:fldCharType="separate"/>
      </w:r>
      <w:r>
        <w:rPr>
          <w:rFonts w:eastAsia="仿宋"/>
          <w:sz w:val="32"/>
          <w:szCs w:val="32"/>
        </w:rPr>
        <w:t>16</w:t>
      </w:r>
      <w:r>
        <w:rPr>
          <w:rFonts w:eastAsia="仿宋"/>
          <w:sz w:val="32"/>
          <w:szCs w:val="32"/>
        </w:rPr>
        <w:fldChar w:fldCharType="end"/>
      </w:r>
      <w:r>
        <w:rPr>
          <w:rFonts w:eastAsia="仿宋"/>
          <w:sz w:val="32"/>
          <w:szCs w:val="32"/>
        </w:rPr>
        <w:fldChar w:fldCharType="end"/>
      </w:r>
    </w:p>
    <w:p>
      <w:pPr>
        <w:pStyle w:val="10"/>
        <w:adjustRightInd w:val="0"/>
        <w:snapToGrid w:val="0"/>
        <w:spacing w:before="0" w:line="300" w:lineRule="auto"/>
        <w:jc w:val="left"/>
        <w:rPr>
          <w:rFonts w:ascii="Times New Roman" w:hAnsi="Times New Roman"/>
          <w:sz w:val="32"/>
          <w:szCs w:val="32"/>
        </w:rPr>
      </w:pPr>
      <w:r>
        <w:fldChar w:fldCharType="begin"/>
      </w:r>
      <w:r>
        <w:instrText xml:space="preserve"> HYPERLINK \l "_Toc6847" </w:instrText>
      </w:r>
      <w:r>
        <w:fldChar w:fldCharType="separate"/>
      </w:r>
      <w:r>
        <w:rPr>
          <w:rFonts w:ascii="Times New Roman" w:hAnsi="Times New Roman"/>
          <w:sz w:val="32"/>
          <w:szCs w:val="32"/>
        </w:rPr>
        <w:t>第三部分</w:t>
      </w:r>
      <w:r>
        <w:rPr>
          <w:rFonts w:hint="eastAsia" w:ascii="Times New Roman" w:hAnsi="Times New Roman"/>
          <w:sz w:val="32"/>
          <w:szCs w:val="32"/>
        </w:rPr>
        <w:t>　</w:t>
      </w:r>
      <w:r>
        <w:rPr>
          <w:rFonts w:ascii="Times New Roman" w:hAnsi="Times New Roman"/>
          <w:sz w:val="32"/>
          <w:szCs w:val="32"/>
        </w:rPr>
        <w:t>名词解释</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_Toc6847 \h </w:instrText>
      </w:r>
      <w:r>
        <w:rPr>
          <w:rFonts w:ascii="Times New Roman" w:hAnsi="Times New Roman"/>
          <w:sz w:val="32"/>
          <w:szCs w:val="32"/>
        </w:rPr>
        <w:fldChar w:fldCharType="separate"/>
      </w:r>
      <w:r>
        <w:rPr>
          <w:rFonts w:ascii="Times New Roman" w:hAnsi="Times New Roman"/>
          <w:sz w:val="32"/>
          <w:szCs w:val="32"/>
        </w:rPr>
        <w:t>18</w:t>
      </w:r>
      <w:r>
        <w:rPr>
          <w:rFonts w:ascii="Times New Roman" w:hAnsi="Times New Roman"/>
          <w:sz w:val="32"/>
          <w:szCs w:val="32"/>
        </w:rPr>
        <w:fldChar w:fldCharType="end"/>
      </w:r>
      <w:r>
        <w:rPr>
          <w:rFonts w:ascii="Times New Roman" w:hAnsi="Times New Roman"/>
          <w:sz w:val="32"/>
          <w:szCs w:val="32"/>
        </w:rPr>
        <w:fldChar w:fldCharType="end"/>
      </w:r>
    </w:p>
    <w:p>
      <w:pPr>
        <w:pStyle w:val="10"/>
        <w:adjustRightInd w:val="0"/>
        <w:snapToGrid w:val="0"/>
        <w:spacing w:before="0" w:line="300" w:lineRule="auto"/>
        <w:jc w:val="left"/>
        <w:rPr>
          <w:rFonts w:ascii="Times New Roman" w:hAnsi="Times New Roman"/>
          <w:sz w:val="32"/>
          <w:szCs w:val="32"/>
        </w:rPr>
      </w:pPr>
      <w:r>
        <w:fldChar w:fldCharType="begin"/>
      </w:r>
      <w:r>
        <w:instrText xml:space="preserve"> HYPERLINK \l "_Toc28361" </w:instrText>
      </w:r>
      <w:r>
        <w:fldChar w:fldCharType="separate"/>
      </w:r>
      <w:r>
        <w:rPr>
          <w:rFonts w:ascii="Times New Roman" w:hAnsi="Times New Roman"/>
          <w:sz w:val="32"/>
          <w:szCs w:val="32"/>
        </w:rPr>
        <w:t>第四部分</w:t>
      </w:r>
      <w:r>
        <w:rPr>
          <w:rFonts w:hint="eastAsia" w:ascii="Times New Roman" w:hAnsi="Times New Roman"/>
          <w:sz w:val="32"/>
          <w:szCs w:val="32"/>
        </w:rPr>
        <w:t>　</w:t>
      </w:r>
      <w:r>
        <w:rPr>
          <w:rFonts w:ascii="Times New Roman" w:hAnsi="Times New Roman"/>
          <w:sz w:val="32"/>
          <w:szCs w:val="32"/>
        </w:rPr>
        <w:t>附件</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_Toc28361 \h </w:instrText>
      </w:r>
      <w:r>
        <w:rPr>
          <w:rFonts w:ascii="Times New Roman" w:hAnsi="Times New Roman"/>
          <w:sz w:val="32"/>
          <w:szCs w:val="32"/>
        </w:rPr>
        <w:fldChar w:fldCharType="separate"/>
      </w:r>
      <w:r>
        <w:rPr>
          <w:rFonts w:ascii="Times New Roman" w:hAnsi="Times New Roman"/>
          <w:sz w:val="32"/>
          <w:szCs w:val="32"/>
        </w:rPr>
        <w:t>22</w:t>
      </w:r>
      <w:r>
        <w:rPr>
          <w:rFonts w:ascii="Times New Roman" w:hAnsi="Times New Roman"/>
          <w:sz w:val="32"/>
          <w:szCs w:val="32"/>
        </w:rPr>
        <w:fldChar w:fldCharType="end"/>
      </w:r>
      <w:r>
        <w:rPr>
          <w:rFonts w:ascii="Times New Roman" w:hAnsi="Times New Roman"/>
          <w:sz w:val="32"/>
          <w:szCs w:val="32"/>
        </w:rPr>
        <w:fldChar w:fldCharType="end"/>
      </w:r>
    </w:p>
    <w:p>
      <w:pPr>
        <w:pStyle w:val="10"/>
        <w:adjustRightInd w:val="0"/>
        <w:snapToGrid w:val="0"/>
        <w:spacing w:before="0" w:line="300" w:lineRule="auto"/>
        <w:jc w:val="left"/>
        <w:rPr>
          <w:rFonts w:ascii="Times New Roman" w:hAnsi="Times New Roman"/>
          <w:sz w:val="32"/>
          <w:szCs w:val="32"/>
        </w:rPr>
      </w:pPr>
      <w:r>
        <w:fldChar w:fldCharType="begin"/>
      </w:r>
      <w:r>
        <w:instrText xml:space="preserve"> HYPERLINK \l "_Toc20186" </w:instrText>
      </w:r>
      <w:r>
        <w:fldChar w:fldCharType="separate"/>
      </w:r>
      <w:r>
        <w:rPr>
          <w:rFonts w:ascii="Times New Roman" w:hAnsi="Times New Roman"/>
          <w:sz w:val="32"/>
          <w:szCs w:val="32"/>
        </w:rPr>
        <w:t>第五部分</w:t>
      </w:r>
      <w:r>
        <w:rPr>
          <w:rFonts w:hint="eastAsia" w:ascii="Times New Roman" w:hAnsi="Times New Roman"/>
          <w:sz w:val="32"/>
          <w:szCs w:val="32"/>
        </w:rPr>
        <w:t>　</w:t>
      </w:r>
      <w:r>
        <w:rPr>
          <w:rFonts w:ascii="Times New Roman" w:hAnsi="Times New Roman"/>
          <w:sz w:val="32"/>
          <w:szCs w:val="32"/>
        </w:rPr>
        <w:t>附表</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_Toc20186 \h </w:instrText>
      </w:r>
      <w:r>
        <w:rPr>
          <w:rFonts w:ascii="Times New Roman" w:hAnsi="Times New Roman"/>
          <w:sz w:val="32"/>
          <w:szCs w:val="32"/>
        </w:rPr>
        <w:fldChar w:fldCharType="separate"/>
      </w:r>
      <w:r>
        <w:rPr>
          <w:rFonts w:ascii="Times New Roman" w:hAnsi="Times New Roman"/>
          <w:sz w:val="32"/>
          <w:szCs w:val="32"/>
        </w:rPr>
        <w:t>23</w:t>
      </w:r>
      <w:r>
        <w:rPr>
          <w:rFonts w:ascii="Times New Roman" w:hAnsi="Times New Roman"/>
          <w:sz w:val="32"/>
          <w:szCs w:val="32"/>
        </w:rPr>
        <w:fldChar w:fldCharType="end"/>
      </w:r>
      <w:r>
        <w:rPr>
          <w:rFonts w:ascii="Times New Roman" w:hAnsi="Times New Roman"/>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"_Toc3137" </w:instrText>
      </w:r>
      <w:r>
        <w:fldChar w:fldCharType="separate"/>
      </w:r>
      <w:r>
        <w:rPr>
          <w:rFonts w:eastAsia="仿宋"/>
          <w:sz w:val="32"/>
          <w:szCs w:val="32"/>
        </w:rPr>
        <w:t>一、收入支出决算总表</w:t>
      </w:r>
      <w:r>
        <w:rPr>
          <w:rFonts w:eastAsia="仿宋"/>
          <w:sz w:val="32"/>
          <w:szCs w:val="32"/>
        </w:rPr>
        <w:tab/>
      </w:r>
      <w:r>
        <w:rPr>
          <w:rFonts w:eastAsia="仿宋"/>
          <w:sz w:val="32"/>
          <w:szCs w:val="32"/>
        </w:rPr>
        <w:fldChar w:fldCharType="begin"/>
      </w:r>
      <w:r>
        <w:rPr>
          <w:rFonts w:eastAsia="仿宋"/>
          <w:sz w:val="32"/>
          <w:szCs w:val="32"/>
        </w:rPr>
        <w:instrText xml:space="preserve"> PAGEREF _Toc3137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"_Toc17641" </w:instrText>
      </w:r>
      <w:r>
        <w:fldChar w:fldCharType="separate"/>
      </w:r>
      <w:r>
        <w:rPr>
          <w:rFonts w:eastAsia="仿宋"/>
          <w:sz w:val="32"/>
          <w:szCs w:val="32"/>
        </w:rPr>
        <w:t>二、收入决算表</w:t>
      </w:r>
      <w:r>
        <w:rPr>
          <w:rFonts w:eastAsia="仿宋"/>
          <w:sz w:val="32"/>
          <w:szCs w:val="32"/>
        </w:rPr>
        <w:tab/>
      </w:r>
      <w:r>
        <w:rPr>
          <w:rFonts w:eastAsia="仿宋"/>
          <w:sz w:val="32"/>
          <w:szCs w:val="32"/>
        </w:rPr>
        <w:fldChar w:fldCharType="begin"/>
      </w:r>
      <w:r>
        <w:rPr>
          <w:rFonts w:eastAsia="仿宋"/>
          <w:sz w:val="32"/>
          <w:szCs w:val="32"/>
        </w:rPr>
        <w:instrText xml:space="preserve"> PAGEREF _Toc17641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"_Toc7753" </w:instrText>
      </w:r>
      <w:r>
        <w:fldChar w:fldCharType="separate"/>
      </w:r>
      <w:r>
        <w:rPr>
          <w:rFonts w:eastAsia="仿宋"/>
          <w:sz w:val="32"/>
          <w:szCs w:val="32"/>
        </w:rPr>
        <w:t>三、支出决算表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_Toc7753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"_Toc17996" </w:instrText>
      </w:r>
      <w:r>
        <w:fldChar w:fldCharType="separate"/>
      </w:r>
      <w:r>
        <w:rPr>
          <w:rFonts w:eastAsia="仿宋"/>
          <w:sz w:val="32"/>
          <w:szCs w:val="32"/>
        </w:rPr>
        <w:t>四、财政拨款收入支出决算总表</w:t>
      </w:r>
      <w:r>
        <w:rPr>
          <w:rFonts w:eastAsia="仿宋"/>
          <w:sz w:val="32"/>
          <w:szCs w:val="32"/>
        </w:rPr>
        <w:tab/>
      </w:r>
      <w:r>
        <w:rPr>
          <w:rFonts w:eastAsia="仿宋"/>
          <w:sz w:val="32"/>
          <w:szCs w:val="32"/>
        </w:rPr>
        <w:fldChar w:fldCharType="begin"/>
      </w:r>
      <w:r>
        <w:rPr>
          <w:rFonts w:eastAsia="仿宋"/>
          <w:sz w:val="32"/>
          <w:szCs w:val="32"/>
        </w:rPr>
        <w:instrText xml:space="preserve"> PAGEREF _Toc17996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"_Toc14157" </w:instrText>
      </w:r>
      <w:r>
        <w:fldChar w:fldCharType="separate"/>
      </w:r>
      <w:r>
        <w:rPr>
          <w:rFonts w:eastAsia="仿宋"/>
          <w:sz w:val="32"/>
          <w:szCs w:val="32"/>
        </w:rPr>
        <w:t>五、财政拨款支出决算明细表</w:t>
      </w:r>
      <w:r>
        <w:rPr>
          <w:rFonts w:eastAsia="仿宋"/>
          <w:sz w:val="32"/>
          <w:szCs w:val="32"/>
        </w:rPr>
        <w:tab/>
      </w:r>
      <w:r>
        <w:rPr>
          <w:rFonts w:eastAsia="仿宋"/>
          <w:sz w:val="32"/>
          <w:szCs w:val="32"/>
        </w:rPr>
        <w:fldChar w:fldCharType="begin"/>
      </w:r>
      <w:r>
        <w:rPr>
          <w:rFonts w:eastAsia="仿宋"/>
          <w:sz w:val="32"/>
          <w:szCs w:val="32"/>
        </w:rPr>
        <w:instrText xml:space="preserve"> PAGEREF _Toc14157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sectPr>
          <w:footerReference r:id="rId9" w:type="first"/>
          <w:footerReference r:id="rId8" w:type="default"/>
          <w:pgSz w:w="11906" w:h="16838"/>
          <w:pgMar w:top="1440" w:right="1800" w:bottom="1440" w:left="1800" w:header="851" w:footer="992" w:gutter="0"/>
          <w:pgNumType w:start="2"/>
          <w:cols w:space="425" w:num="1"/>
          <w:docGrid w:type="lines" w:linePitch="312" w:charSpace="0"/>
        </w:sectPr>
      </w:pPr>
    </w:p>
    <w:p>
      <w:pPr>
        <w:pStyle w:val="11"/>
        <w:adjustRightInd w:val="0"/>
        <w:snapToGrid w:val="0"/>
        <w:spacing w:line="300" w:lineRule="auto"/>
        <w:jc w:val="left"/>
        <w:rPr>
          <w:rFonts w:eastAsia="仿宋"/>
          <w:sz w:val="32"/>
          <w:szCs w:val="32"/>
        </w:rPr>
      </w:pPr>
      <w:r>
        <w:fldChar w:fldCharType="begin"/>
      </w:r>
      <w:r>
        <w:instrText xml:space="preserve"> HYPERLINK \l "_Toc22753" </w:instrText>
      </w:r>
      <w:r>
        <w:fldChar w:fldCharType="separate"/>
      </w:r>
      <w:r>
        <w:rPr>
          <w:rFonts w:eastAsia="仿宋"/>
          <w:sz w:val="32"/>
          <w:szCs w:val="32"/>
        </w:rPr>
        <w:t>六、一般公共预算财政拨款支出决算表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_Toc22753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"_Toc18253" </w:instrText>
      </w:r>
      <w:r>
        <w:fldChar w:fldCharType="separate"/>
      </w:r>
      <w:r>
        <w:rPr>
          <w:rFonts w:eastAsia="仿宋"/>
          <w:sz w:val="32"/>
          <w:szCs w:val="32"/>
        </w:rPr>
        <w:t>七、一般公共预算财政拨款支出决算明细表</w:t>
      </w:r>
      <w:r>
        <w:rPr>
          <w:rFonts w:eastAsia="仿宋"/>
          <w:sz w:val="32"/>
          <w:szCs w:val="32"/>
        </w:rPr>
        <w:tab/>
      </w:r>
      <w:r>
        <w:rPr>
          <w:rFonts w:eastAsia="仿宋"/>
          <w:sz w:val="32"/>
          <w:szCs w:val="32"/>
        </w:rPr>
        <w:fldChar w:fldCharType="begin"/>
      </w:r>
      <w:r>
        <w:rPr>
          <w:rFonts w:eastAsia="仿宋"/>
          <w:sz w:val="32"/>
          <w:szCs w:val="32"/>
        </w:rPr>
        <w:instrText xml:space="preserve"> PAGEREF _Toc18253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"_Toc12222" </w:instrText>
      </w:r>
      <w:r>
        <w:fldChar w:fldCharType="separate"/>
      </w:r>
      <w:r>
        <w:rPr>
          <w:rFonts w:eastAsia="仿宋"/>
          <w:sz w:val="32"/>
          <w:szCs w:val="32"/>
        </w:rPr>
        <w:t>八、一般公共预算财政拨款基本支出决算表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_Toc12222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"_Toc5055" </w:instrText>
      </w:r>
      <w:r>
        <w:fldChar w:fldCharType="separate"/>
      </w:r>
      <w:r>
        <w:rPr>
          <w:rFonts w:eastAsia="仿宋"/>
          <w:sz w:val="32"/>
          <w:szCs w:val="32"/>
        </w:rPr>
        <w:t>九、一般公共预算财政拨款项目支出决算表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_Toc5055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"_Toc9835" </w:instrText>
      </w:r>
      <w:r>
        <w:fldChar w:fldCharType="separate"/>
      </w:r>
      <w:r>
        <w:rPr>
          <w:rFonts w:eastAsia="仿宋"/>
          <w:sz w:val="32"/>
          <w:szCs w:val="32"/>
        </w:rPr>
        <w:t>十、政府性基金预算财政拨款收入支出决算表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_Toc9835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"_Toc11854" </w:instrText>
      </w:r>
      <w:r>
        <w:fldChar w:fldCharType="separate"/>
      </w:r>
      <w:r>
        <w:rPr>
          <w:rFonts w:eastAsia="仿宋"/>
          <w:sz w:val="32"/>
          <w:szCs w:val="32"/>
        </w:rPr>
        <w:t>十一、国有资本经营预算财政拨款收入支出决算表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_Toc11854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rFonts w:eastAsia="仿宋"/>
          <w:sz w:val="32"/>
          <w:szCs w:val="32"/>
        </w:rPr>
      </w:pPr>
      <w:r>
        <w:fldChar w:fldCharType="begin"/>
      </w:r>
      <w:r>
        <w:instrText xml:space="preserve"> HYPERLINK \l "_Toc8996" </w:instrText>
      </w:r>
      <w:r>
        <w:fldChar w:fldCharType="separate"/>
      </w:r>
      <w:r>
        <w:rPr>
          <w:rFonts w:eastAsia="仿宋"/>
          <w:sz w:val="32"/>
          <w:szCs w:val="32"/>
        </w:rPr>
        <w:t>十二、国有资本经营预算财政拨款支出决算表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_Toc8996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adjustRightInd w:val="0"/>
        <w:snapToGrid w:val="0"/>
        <w:spacing w:line="300" w:lineRule="auto"/>
        <w:jc w:val="left"/>
        <w:rPr>
          <w:sz w:val="24"/>
        </w:rPr>
      </w:pPr>
      <w:r>
        <w:fldChar w:fldCharType="begin"/>
      </w:r>
      <w:r>
        <w:instrText xml:space="preserve"> HYPERLINK \l "_Toc31379" </w:instrText>
      </w:r>
      <w:r>
        <w:fldChar w:fldCharType="separate"/>
      </w:r>
      <w:r>
        <w:rPr>
          <w:rFonts w:eastAsia="仿宋"/>
          <w:sz w:val="32"/>
          <w:szCs w:val="32"/>
        </w:rPr>
        <w:t>十三、财政拨款</w:t>
      </w:r>
      <w:r>
        <w:rPr>
          <w:rFonts w:hint="eastAsia" w:eastAsia="仿宋"/>
          <w:sz w:val="32"/>
          <w:szCs w:val="32"/>
        </w:rPr>
        <w:t>“</w:t>
      </w:r>
      <w:r>
        <w:rPr>
          <w:rFonts w:eastAsia="仿宋"/>
          <w:sz w:val="32"/>
          <w:szCs w:val="32"/>
        </w:rPr>
        <w:t>三公</w:t>
      </w:r>
      <w:r>
        <w:rPr>
          <w:rFonts w:hint="eastAsia" w:eastAsia="仿宋"/>
          <w:sz w:val="32"/>
          <w:szCs w:val="32"/>
        </w:rPr>
        <w:t>”</w:t>
      </w:r>
      <w:r>
        <w:rPr>
          <w:rFonts w:eastAsia="仿宋"/>
          <w:sz w:val="32"/>
          <w:szCs w:val="32"/>
        </w:rPr>
        <w:t>经费支出决算表</w:t>
      </w:r>
      <w:r>
        <w:rPr>
          <w:rFonts w:eastAsia="仿宋"/>
          <w:sz w:val="32"/>
          <w:szCs w:val="32"/>
        </w:rPr>
        <w:tab/>
      </w:r>
      <w:r>
        <w:rPr>
          <w:rFonts w:eastAsia="仿宋"/>
          <w:sz w:val="32"/>
          <w:szCs w:val="32"/>
        </w:rPr>
        <w:fldChar w:fldCharType="begin"/>
      </w:r>
      <w:r>
        <w:rPr>
          <w:rFonts w:eastAsia="仿宋"/>
          <w:sz w:val="32"/>
          <w:szCs w:val="32"/>
        </w:rPr>
        <w:instrText xml:space="preserve"> PAGEREF _Toc31379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0"/>
        <w:adjustRightInd w:val="0"/>
        <w:snapToGrid w:val="0"/>
        <w:spacing w:before="0" w:line="440" w:lineRule="exact"/>
        <w:jc w:val="left"/>
        <w:rPr>
          <w:sz w:val="24"/>
        </w:rPr>
      </w:pPr>
      <w:r>
        <w:rPr>
          <w:rFonts w:hint="eastAsia"/>
          <w:sz w:val="24"/>
        </w:rPr>
        <w:fldChar w:fldCharType="end"/>
      </w:r>
    </w:p>
    <w:p>
      <w:pPr>
        <w:pStyle w:val="3"/>
        <w:jc w:val="center"/>
        <w:rPr>
          <w:rFonts w:ascii="黑体" w:hAnsi="黑体" w:eastAsia="黑体"/>
          <w:b w:val="0"/>
        </w:rPr>
      </w:pPr>
      <w:bookmarkStart w:id="16" w:name="_Toc24049"/>
    </w:p>
    <w:p>
      <w:pPr>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2"/>
        <w:spacing w:before="93"/>
        <w:rPr>
          <w:rFonts w:ascii="黑体" w:hAnsi="黑体" w:eastAsia="黑体"/>
        </w:rPr>
      </w:pPr>
    </w:p>
    <w:p>
      <w:pPr>
        <w:pStyle w:val="3"/>
        <w:adjustRightInd w:val="0"/>
        <w:snapToGrid w:val="0"/>
        <w:spacing w:before="0" w:after="0" w:line="300" w:lineRule="auto"/>
        <w:jc w:val="center"/>
        <w:rPr>
          <w:rFonts w:ascii="方正小标宋_GBK" w:hAnsi="方正小标宋_GBK" w:eastAsia="方正小标宋_GBK" w:cs="方正小标宋_GBK"/>
          <w:b w:val="0"/>
          <w:snapToGrid w:val="0"/>
          <w:kern w:val="0"/>
          <w:sz w:val="32"/>
          <w:szCs w:val="32"/>
        </w:rPr>
      </w:pPr>
    </w:p>
    <w:p>
      <w:pPr>
        <w:pStyle w:val="3"/>
        <w:adjustRightInd w:val="0"/>
        <w:snapToGrid w:val="0"/>
        <w:spacing w:before="0" w:after="0" w:line="300" w:lineRule="auto"/>
        <w:jc w:val="center"/>
        <w:rPr>
          <w:rFonts w:ascii="方正小标宋_GBK" w:hAnsi="方正小标宋_GBK" w:eastAsia="方正小标宋_GBK" w:cs="方正小标宋_GBK"/>
          <w:snapToGrid w:val="0"/>
          <w:kern w:val="0"/>
          <w:sz w:val="32"/>
          <w:szCs w:val="32"/>
        </w:rPr>
      </w:pPr>
      <w:r>
        <w:rPr>
          <w:rFonts w:hint="eastAsia" w:ascii="方正小标宋_GBK" w:hAnsi="方正小标宋_GBK" w:eastAsia="方正小标宋_GBK" w:cs="方正小标宋_GBK"/>
          <w:b w:val="0"/>
          <w:snapToGrid w:val="0"/>
          <w:kern w:val="0"/>
        </w:rPr>
        <w:t>第一部分　单位</w:t>
      </w:r>
      <w:r>
        <w:rPr>
          <w:rStyle w:val="24"/>
          <w:rFonts w:hint="eastAsia" w:ascii="方正小标宋_GBK" w:hAnsi="方正小标宋_GBK" w:eastAsia="方正小标宋_GBK" w:cs="方正小标宋_GBK"/>
          <w:b w:val="0"/>
          <w:bCs w:val="0"/>
          <w:snapToGrid w:val="0"/>
          <w:kern w:val="0"/>
        </w:rPr>
        <w:t>概况</w:t>
      </w:r>
      <w:bookmarkEnd w:id="14"/>
      <w:bookmarkEnd w:id="15"/>
      <w:bookmarkEnd w:id="16"/>
    </w:p>
    <w:p>
      <w:pPr>
        <w:pStyle w:val="4"/>
        <w:adjustRightInd w:val="0"/>
        <w:snapToGrid w:val="0"/>
        <w:spacing w:before="0" w:after="0" w:line="300" w:lineRule="auto"/>
        <w:rPr>
          <w:rStyle w:val="25"/>
          <w:rFonts w:ascii="Times New Roman" w:hAnsi="Times New Roman" w:eastAsia="仿宋" w:cs="Times New Roman"/>
          <w:b w:val="0"/>
          <w:bCs w:val="0"/>
          <w:snapToGrid w:val="0"/>
          <w:kern w:val="0"/>
        </w:rPr>
      </w:pPr>
      <w:bookmarkStart w:id="17" w:name="_Toc23852"/>
      <w:bookmarkStart w:id="18" w:name="_Toc15396600"/>
      <w:bookmarkStart w:id="19" w:name="_Toc15377197"/>
    </w:p>
    <w:p>
      <w:pPr>
        <w:adjustRightInd w:val="0"/>
        <w:snapToGrid w:val="0"/>
        <w:spacing w:line="353" w:lineRule="auto"/>
        <w:rPr>
          <w:rFonts w:ascii="黑体" w:hAnsi="黑体" w:eastAsia="黑体" w:cs="黑体"/>
          <w:sz w:val="32"/>
          <w:szCs w:val="32"/>
        </w:rPr>
      </w:pPr>
      <w:r>
        <w:rPr>
          <w:rFonts w:hint="eastAsia" w:ascii="黑体" w:hAnsi="黑体" w:eastAsia="黑体" w:cs="黑体"/>
          <w:sz w:val="32"/>
          <w:szCs w:val="32"/>
        </w:rPr>
        <w:t>　　一、主要职责</w:t>
      </w:r>
      <w:bookmarkEnd w:id="17"/>
    </w:p>
    <w:p>
      <w:pPr>
        <w:adjustRightInd w:val="0"/>
        <w:snapToGrid w:val="0"/>
        <w:spacing w:line="353" w:lineRule="auto"/>
        <w:rPr>
          <w:rFonts w:ascii="楷体" w:hAnsi="楷体" w:eastAsia="楷体" w:cs="楷体"/>
          <w:sz w:val="32"/>
          <w:szCs w:val="32"/>
        </w:rPr>
      </w:pPr>
      <w:r>
        <w:rPr>
          <w:rFonts w:hint="eastAsia" w:ascii="楷体" w:hAnsi="楷体" w:eastAsia="楷体" w:cs="楷体"/>
          <w:sz w:val="32"/>
          <w:szCs w:val="32"/>
        </w:rPr>
        <w:t>　　（一）市政府办公室职能简介。</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（1）协助市政府领导同志组织起草或审核以市政府、市政府办公室名义发布的公文。办理省政府、省政府办公厅及省直部门发送市政府的文电。指导全市行政机关公文处理工作。</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（2）研究市政府部门和县（区）人民政府请示市政府的事项，提出审核意见，报市政府领导同志审批。</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（3）负责市政府会议的准备工作，协助市政府领导同志组织实施会议决定事项。</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（4）督促检查市政府部门和县（区）人民政府对市政府决定事项及市政府领导同志指示的贯彻落实情况，及时向市政府领导同志报告。</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（5）根据市政府领导同志的指示，对市政府部门间争议问题提出处理意见和建议，报市政府领导同志决定。</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（6）负责市政府值班工作，指导市政府部门和县（区）人民政府值班工作，及时报告重要情况。</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（7）指导、监督全市政府信息公开工作和机关行政效能建设工作，指导、监督全市政府系统电子政务工作和政府网站建设。</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（8）围绕市政府中心工作和市政府领导同志的指示，组织专题调查研究，及时反映情况，提出政策性建议。</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w:t>
      </w:r>
      <w:r>
        <w:rPr>
          <w:rFonts w:hint="eastAsia" w:eastAsia="仿宋"/>
          <w:sz w:val="32"/>
          <w:szCs w:val="32"/>
        </w:rPr>
        <w:t>9</w:t>
      </w:r>
      <w:r>
        <w:rPr>
          <w:rFonts w:eastAsia="仿宋"/>
          <w:sz w:val="32"/>
          <w:szCs w:val="32"/>
        </w:rPr>
        <w:t>）贯彻执行党和国家的外事方针政策、法律、法规以及市委、市政府关于外事工作的决策部署，统筹管理全市外事工作。</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w:t>
      </w:r>
      <w:r>
        <w:rPr>
          <w:rFonts w:hint="eastAsia" w:eastAsia="仿宋"/>
          <w:sz w:val="32"/>
          <w:szCs w:val="32"/>
        </w:rPr>
        <w:t>10</w:t>
      </w:r>
      <w:r>
        <w:rPr>
          <w:rFonts w:eastAsia="仿宋"/>
          <w:sz w:val="32"/>
          <w:szCs w:val="32"/>
        </w:rPr>
        <w:t>）负责职责范围内的安全生产和职业健康、生态环境保护、行政审批便民化工作。</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（1</w:t>
      </w:r>
      <w:r>
        <w:rPr>
          <w:rFonts w:hint="eastAsia" w:eastAsia="仿宋"/>
          <w:sz w:val="32"/>
          <w:szCs w:val="32"/>
        </w:rPr>
        <w:t>1</w:t>
      </w:r>
      <w:r>
        <w:rPr>
          <w:rFonts w:eastAsia="仿宋"/>
          <w:sz w:val="32"/>
          <w:szCs w:val="32"/>
        </w:rPr>
        <w:t>）负责原市机关事务管理局的机关事务管理、公共机构节能等行政职责。</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w:t>
      </w:r>
      <w:r>
        <w:rPr>
          <w:rFonts w:hint="eastAsia" w:eastAsia="仿宋"/>
          <w:sz w:val="32"/>
          <w:szCs w:val="32"/>
        </w:rPr>
        <w:t>12</w:t>
      </w:r>
      <w:r>
        <w:rPr>
          <w:rFonts w:eastAsia="仿宋"/>
          <w:sz w:val="32"/>
          <w:szCs w:val="32"/>
        </w:rPr>
        <w:t>）负责市政府驻外机构的管理工作。</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w:t>
      </w:r>
      <w:r>
        <w:rPr>
          <w:rFonts w:hint="eastAsia" w:eastAsia="仿宋"/>
          <w:sz w:val="32"/>
          <w:szCs w:val="32"/>
        </w:rPr>
        <w:t>13</w:t>
      </w:r>
      <w:r>
        <w:rPr>
          <w:rFonts w:eastAsia="仿宋"/>
          <w:sz w:val="32"/>
          <w:szCs w:val="32"/>
        </w:rPr>
        <w:t>）承办市政府和市政府领导同志交办的其他事项。</w:t>
      </w:r>
    </w:p>
    <w:p>
      <w:pPr>
        <w:adjustRightInd w:val="0"/>
        <w:snapToGrid w:val="0"/>
        <w:spacing w:line="348" w:lineRule="auto"/>
        <w:rPr>
          <w:rFonts w:ascii="楷体" w:hAnsi="楷体" w:eastAsia="楷体" w:cs="楷体"/>
          <w:sz w:val="32"/>
          <w:szCs w:val="32"/>
        </w:rPr>
      </w:pPr>
      <w:r>
        <w:rPr>
          <w:rFonts w:hint="eastAsia" w:ascii="楷体" w:hAnsi="楷体" w:eastAsia="楷体" w:cs="楷体"/>
          <w:sz w:val="32"/>
          <w:szCs w:val="32"/>
        </w:rPr>
        <w:t>　　（二）市大数据中心职能简介。</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（1）贯彻执行国家、省大数据发展方针政策；开展全市大数据发展规划、政策措施、管理办法和考核细则的基础性研究工作，提出相关政策建议。</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（2）负责全市电子政务外网等基础设施建设和运维管理，为全市电子政务基础设施规划建设、组织实施、运行维护提供支撑服务。</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3）承担全市政府数据、公共数据、社会数据汇聚整合、共享开放、应用融合等数据管理的具体事务性、技术性工作，为政府履行政府数据所有者职责提供支撑。负责市级政务信息资源共享交换平台等数据资源平台建设和运维管理。</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（4）为政务系统大数据发展和重大应用建设提供支撑服务，承担办公运行、工作监测、信息公开、为民服务等跨部门跨层级综合性应用系统建设、运维管理和支撑服务。对</w:t>
      </w:r>
      <w:r>
        <w:rPr>
          <w:rFonts w:hint="eastAsia" w:ascii="仿宋" w:hAnsi="仿宋" w:eastAsia="仿宋" w:cs="仿宋"/>
          <w:sz w:val="32"/>
          <w:szCs w:val="32"/>
        </w:rPr>
        <w:t>“</w:t>
      </w:r>
      <w:r>
        <w:rPr>
          <w:rFonts w:eastAsia="仿宋"/>
          <w:sz w:val="32"/>
          <w:szCs w:val="32"/>
        </w:rPr>
        <w:t>走好网上群众路线</w:t>
      </w:r>
      <w:r>
        <w:rPr>
          <w:rFonts w:hint="eastAsia" w:ascii="仿宋" w:hAnsi="仿宋" w:eastAsia="仿宋" w:cs="仿宋"/>
          <w:sz w:val="32"/>
          <w:szCs w:val="32"/>
        </w:rPr>
        <w:t>”</w:t>
      </w:r>
      <w:r>
        <w:rPr>
          <w:rFonts w:eastAsia="仿宋"/>
          <w:sz w:val="32"/>
          <w:szCs w:val="32"/>
        </w:rPr>
        <w:t>等群众诉求网络渠道办理情况进行统计分析，并提出建议。</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（5）负责攀枝花市政府网站集约化平台和政务新媒体运维建设和运维管理工作，为政务公开、信息发布、政策解读等相关工作提供支撑服务，参与全市政府网站和政务新媒体绩效评估工作。</w:t>
      </w:r>
    </w:p>
    <w:p>
      <w:pPr>
        <w:adjustRightInd w:val="0"/>
        <w:snapToGrid w:val="0"/>
        <w:spacing w:line="348" w:lineRule="auto"/>
        <w:rPr>
          <w:rFonts w:eastAsia="仿宋"/>
          <w:sz w:val="32"/>
          <w:szCs w:val="32"/>
        </w:rPr>
      </w:pPr>
      <w:r>
        <w:rPr>
          <w:rFonts w:hint="eastAsia" w:eastAsia="仿宋"/>
          <w:sz w:val="32"/>
          <w:szCs w:val="32"/>
        </w:rPr>
        <w:t>　　</w:t>
      </w:r>
      <w:r>
        <w:rPr>
          <w:rFonts w:eastAsia="仿宋"/>
          <w:sz w:val="32"/>
          <w:szCs w:val="32"/>
        </w:rPr>
        <w:t>（6）负责统筹协调全市政府信息化建设，按照“共用统建、集约发展”原则，推动全市政务信息系统集约化、标准化、规范化建设，为市政府统筹全市政府信息化建设提供建议，对市级预算安排的信息化项目建设备案提出共享开放建议意见。</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（7）推进电子政务外网、政务应用系统及数据的安全体系建设和安全保障工作。</w:t>
      </w:r>
    </w:p>
    <w:p>
      <w:pPr>
        <w:adjustRightInd w:val="0"/>
        <w:snapToGrid w:val="0"/>
        <w:spacing w:line="353" w:lineRule="auto"/>
        <w:rPr>
          <w:rFonts w:ascii="楷体" w:hAnsi="楷体" w:eastAsia="楷体" w:cs="楷体"/>
          <w:sz w:val="32"/>
          <w:szCs w:val="32"/>
        </w:rPr>
      </w:pPr>
      <w:r>
        <w:rPr>
          <w:rFonts w:hint="eastAsia" w:ascii="楷体" w:hAnsi="楷体" w:eastAsia="楷体" w:cs="楷体"/>
          <w:sz w:val="32"/>
          <w:szCs w:val="32"/>
        </w:rPr>
        <w:t>　　（三）市决策咨询服务中心职能简介。</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（1）对我市经济社会发展中带战略性、综合性、前瞻性的重大问题和热点、难点问题开展调查研究，了解民意、集中民智，为市委、市政府决策提供咨询意见。</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（2）加强全市经济社会发展公共政策研究。</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（3）承担或参与全市发展战略、中长期规划、重大决策部署、重大问题、重点项目等咨询论证。</w:t>
      </w:r>
    </w:p>
    <w:p>
      <w:pPr>
        <w:adjustRightInd w:val="0"/>
        <w:snapToGrid w:val="0"/>
        <w:spacing w:line="353" w:lineRule="auto"/>
        <w:rPr>
          <w:rFonts w:eastAsia="仿宋"/>
          <w:sz w:val="32"/>
          <w:szCs w:val="32"/>
        </w:rPr>
      </w:pPr>
      <w:r>
        <w:rPr>
          <w:rFonts w:hint="eastAsia" w:eastAsia="仿宋"/>
          <w:sz w:val="32"/>
          <w:szCs w:val="32"/>
        </w:rPr>
        <w:t>　　</w:t>
      </w:r>
      <w:r>
        <w:rPr>
          <w:rFonts w:eastAsia="仿宋"/>
          <w:sz w:val="32"/>
          <w:szCs w:val="32"/>
        </w:rPr>
        <w:t>（4）受市级部门、县（区）党委和政府以及企事业单位委托，提供政策制定、规划编制、专题研究及重要问题的咨询论证服务。</w:t>
      </w:r>
    </w:p>
    <w:p>
      <w:pPr>
        <w:adjustRightInd w:val="0"/>
        <w:snapToGrid w:val="0"/>
        <w:spacing w:line="353" w:lineRule="auto"/>
        <w:rPr>
          <w:rFonts w:ascii="黑体" w:hAnsi="黑体" w:eastAsia="黑体" w:cs="黑体"/>
          <w:sz w:val="32"/>
          <w:szCs w:val="32"/>
        </w:rPr>
      </w:pPr>
      <w:bookmarkStart w:id="20" w:name="_Toc23431"/>
      <w:r>
        <w:rPr>
          <w:rFonts w:hint="eastAsia" w:ascii="黑体" w:hAnsi="黑体" w:eastAsia="黑体" w:cs="黑体"/>
          <w:sz w:val="32"/>
          <w:szCs w:val="32"/>
        </w:rPr>
        <w:t>　　二、机构设置</w:t>
      </w:r>
      <w:bookmarkEnd w:id="20"/>
    </w:p>
    <w:bookmarkEnd w:id="18"/>
    <w:bookmarkEnd w:id="19"/>
    <w:p>
      <w:pPr>
        <w:adjustRightInd w:val="0"/>
        <w:snapToGrid w:val="0"/>
        <w:spacing w:line="353" w:lineRule="auto"/>
        <w:rPr>
          <w:rFonts w:eastAsia="仿宋"/>
          <w:sz w:val="32"/>
          <w:szCs w:val="32"/>
        </w:rPr>
      </w:pPr>
      <w:r>
        <w:rPr>
          <w:rFonts w:eastAsia="仿宋"/>
          <w:sz w:val="32"/>
          <w:szCs w:val="32"/>
        </w:rPr>
        <w:t>　　市政府办公室本级下属非独立核算事业单位2个：市大数据中心、市决策咨询服务中心；代管单位1个：原市政府驻昆明办事处。</w:t>
      </w:r>
    </w:p>
    <w:p>
      <w:pPr>
        <w:widowControl/>
        <w:adjustRightInd w:val="0"/>
        <w:snapToGrid w:val="0"/>
        <w:spacing w:line="353" w:lineRule="auto"/>
        <w:jc w:val="left"/>
        <w:rPr>
          <w:rFonts w:eastAsia="仿宋"/>
          <w:snapToGrid w:val="0"/>
          <w:kern w:val="0"/>
          <w:sz w:val="32"/>
          <w:szCs w:val="32"/>
        </w:rPr>
      </w:pPr>
      <w:r>
        <w:rPr>
          <w:rFonts w:eastAsia="仿宋"/>
          <w:snapToGrid w:val="0"/>
          <w:kern w:val="0"/>
          <w:sz w:val="32"/>
          <w:szCs w:val="32"/>
        </w:rPr>
        <w:br w:type="page"/>
      </w:r>
    </w:p>
    <w:p>
      <w:pPr>
        <w:pStyle w:val="3"/>
        <w:adjustRightInd w:val="0"/>
        <w:snapToGrid w:val="0"/>
        <w:spacing w:before="0" w:after="0" w:line="353" w:lineRule="auto"/>
        <w:jc w:val="center"/>
        <w:rPr>
          <w:rFonts w:eastAsia="方正小标宋_GBK"/>
          <w:b w:val="0"/>
          <w:snapToGrid w:val="0"/>
          <w:kern w:val="0"/>
        </w:rPr>
      </w:pPr>
      <w:bookmarkStart w:id="21" w:name="_Toc15396602"/>
      <w:bookmarkStart w:id="22" w:name="_Toc29316"/>
      <w:bookmarkStart w:id="23" w:name="_Toc15377204"/>
    </w:p>
    <w:p>
      <w:pPr>
        <w:pStyle w:val="3"/>
        <w:adjustRightInd w:val="0"/>
        <w:snapToGrid w:val="0"/>
        <w:spacing w:before="0" w:after="0" w:line="353" w:lineRule="auto"/>
        <w:jc w:val="center"/>
        <w:rPr>
          <w:rStyle w:val="24"/>
          <w:rFonts w:eastAsia="方正小标宋_GBK"/>
          <w:b w:val="0"/>
          <w:bCs/>
          <w:snapToGrid w:val="0"/>
          <w:kern w:val="0"/>
        </w:rPr>
      </w:pPr>
      <w:r>
        <w:rPr>
          <w:rFonts w:eastAsia="方正小标宋_GBK"/>
          <w:b w:val="0"/>
          <w:snapToGrid w:val="0"/>
          <w:kern w:val="0"/>
        </w:rPr>
        <w:t>第二部分　2022年度</w:t>
      </w:r>
      <w:r>
        <w:rPr>
          <w:rStyle w:val="24"/>
          <w:rFonts w:eastAsia="方正小标宋_GBK"/>
          <w:b w:val="0"/>
          <w:bCs/>
          <w:snapToGrid w:val="0"/>
          <w:kern w:val="0"/>
        </w:rPr>
        <w:t>单位决算情况说明</w:t>
      </w:r>
      <w:bookmarkEnd w:id="21"/>
      <w:bookmarkEnd w:id="22"/>
      <w:bookmarkEnd w:id="23"/>
    </w:p>
    <w:p>
      <w:pPr>
        <w:adjustRightInd w:val="0"/>
        <w:snapToGrid w:val="0"/>
        <w:spacing w:line="353" w:lineRule="auto"/>
        <w:rPr>
          <w:rFonts w:eastAsia="仿宋"/>
          <w:snapToGrid w:val="0"/>
          <w:kern w:val="0"/>
          <w:sz w:val="32"/>
          <w:szCs w:val="32"/>
        </w:rPr>
      </w:pPr>
    </w:p>
    <w:p>
      <w:pPr>
        <w:adjustRightInd w:val="0"/>
        <w:snapToGrid w:val="0"/>
        <w:spacing w:line="353" w:lineRule="auto"/>
        <w:rPr>
          <w:rFonts w:ascii="黑体" w:hAnsi="黑体" w:eastAsia="黑体" w:cs="黑体"/>
          <w:sz w:val="32"/>
          <w:szCs w:val="32"/>
        </w:rPr>
      </w:pPr>
      <w:bookmarkStart w:id="24" w:name="_Toc15377205"/>
      <w:bookmarkStart w:id="25" w:name="_Toc9431"/>
      <w:bookmarkStart w:id="26" w:name="_Toc15396603"/>
      <w:r>
        <w:rPr>
          <w:rFonts w:hint="eastAsia" w:ascii="黑体" w:hAnsi="黑体" w:eastAsia="黑体" w:cs="黑体"/>
          <w:sz w:val="32"/>
          <w:szCs w:val="32"/>
        </w:rPr>
        <w:t>　　一、收入支出决算总体情况说明</w:t>
      </w:r>
      <w:bookmarkEnd w:id="24"/>
      <w:bookmarkEnd w:id="25"/>
      <w:bookmarkEnd w:id="26"/>
    </w:p>
    <w:p>
      <w:pPr>
        <w:adjustRightInd w:val="0"/>
        <w:snapToGrid w:val="0"/>
        <w:spacing w:line="353" w:lineRule="auto"/>
        <w:rPr>
          <w:rFonts w:eastAsia="仿宋"/>
          <w:sz w:val="32"/>
          <w:szCs w:val="32"/>
        </w:rPr>
      </w:pPr>
      <w:r>
        <w:drawing>
          <wp:anchor distT="0" distB="0" distL="114300" distR="114300" simplePos="0" relativeHeight="251659264" behindDoc="0" locked="0" layoutInCell="1" allowOverlap="1">
            <wp:simplePos x="0" y="0"/>
            <wp:positionH relativeFrom="column">
              <wp:posOffset>-6350</wp:posOffset>
            </wp:positionH>
            <wp:positionV relativeFrom="paragraph">
              <wp:posOffset>1518920</wp:posOffset>
            </wp:positionV>
            <wp:extent cx="5250180" cy="3140710"/>
            <wp:effectExtent l="4445" t="4445" r="22225" b="1714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eastAsia="仿宋"/>
          <w:sz w:val="32"/>
          <w:szCs w:val="32"/>
        </w:rPr>
        <w:t>　　</w:t>
      </w:r>
      <w:r>
        <w:rPr>
          <w:rFonts w:eastAsia="仿宋"/>
          <w:sz w:val="32"/>
          <w:szCs w:val="32"/>
        </w:rPr>
        <w:t>2022年度收、支总计均为4051.66万元。与2021年相比，收、支总计各增加464.76万元，增长12.96%。主要变动原因是新增划转市大数据中心及市决策咨询</w:t>
      </w:r>
      <w:r>
        <w:rPr>
          <w:rFonts w:hint="eastAsia" w:eastAsia="仿宋"/>
          <w:sz w:val="32"/>
          <w:szCs w:val="32"/>
        </w:rPr>
        <w:t>服务</w:t>
      </w:r>
      <w:r>
        <w:rPr>
          <w:rFonts w:eastAsia="仿宋"/>
          <w:sz w:val="32"/>
          <w:szCs w:val="32"/>
        </w:rPr>
        <w:t>中心两个机构，导致人员经费和公用经费增加。</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p>
    <w:p>
      <w:pPr>
        <w:adjustRightInd w:val="0"/>
        <w:snapToGrid w:val="0"/>
        <w:spacing w:line="317" w:lineRule="auto"/>
        <w:ind w:firstLine="640" w:firstLineChars="200"/>
        <w:jc w:val="center"/>
        <w:rPr>
          <w:rFonts w:eastAsia="仿宋"/>
          <w:sz w:val="32"/>
          <w:szCs w:val="32"/>
        </w:rPr>
      </w:pPr>
      <w:r>
        <w:rPr>
          <w:rFonts w:eastAsia="仿宋"/>
          <w:sz w:val="32"/>
          <w:szCs w:val="32"/>
        </w:rPr>
        <w:t>（图1：收、支决算总计变动情况图）</w:t>
      </w:r>
    </w:p>
    <w:p>
      <w:pPr>
        <w:adjustRightInd w:val="0"/>
        <w:snapToGrid w:val="0"/>
        <w:spacing w:line="317" w:lineRule="auto"/>
        <w:rPr>
          <w:rFonts w:ascii="黑体" w:hAnsi="黑体" w:eastAsia="黑体" w:cs="黑体"/>
          <w:snapToGrid w:val="0"/>
          <w:kern w:val="0"/>
          <w:sz w:val="32"/>
          <w:szCs w:val="32"/>
        </w:rPr>
      </w:pPr>
      <w:bookmarkStart w:id="27" w:name="_Toc24495"/>
      <w:bookmarkStart w:id="28" w:name="_Toc15396604"/>
      <w:bookmarkStart w:id="29" w:name="_Toc15377206"/>
      <w:r>
        <w:rPr>
          <w:rFonts w:hint="eastAsia" w:ascii="黑体" w:hAnsi="黑体" w:eastAsia="黑体" w:cs="黑体"/>
          <w:snapToGrid w:val="0"/>
          <w:kern w:val="0"/>
          <w:sz w:val="32"/>
          <w:szCs w:val="32"/>
        </w:rPr>
        <w:t>　　二、收入决算情况说明</w:t>
      </w:r>
      <w:bookmarkEnd w:id="27"/>
      <w:bookmarkEnd w:id="28"/>
      <w:bookmarkEnd w:id="29"/>
    </w:p>
    <w:p>
      <w:pPr>
        <w:adjustRightInd w:val="0"/>
        <w:snapToGrid w:val="0"/>
        <w:spacing w:line="317" w:lineRule="auto"/>
        <w:rPr>
          <w:rFonts w:eastAsia="仿宋"/>
          <w:snapToGrid w:val="0"/>
          <w:kern w:val="0"/>
          <w:sz w:val="32"/>
          <w:szCs w:val="32"/>
        </w:rPr>
      </w:pPr>
      <w:bookmarkStart w:id="30" w:name="_Toc21153"/>
      <w:r>
        <w:rPr>
          <w:rFonts w:hint="eastAsia" w:eastAsia="仿宋"/>
          <w:snapToGrid w:val="0"/>
          <w:kern w:val="0"/>
          <w:sz w:val="32"/>
          <w:szCs w:val="32"/>
        </w:rPr>
        <w:t>　　</w:t>
      </w:r>
      <w:r>
        <w:rPr>
          <w:rFonts w:eastAsia="仿宋"/>
          <w:snapToGrid w:val="0"/>
          <w:kern w:val="0"/>
          <w:sz w:val="32"/>
          <w:szCs w:val="32"/>
        </w:rPr>
        <w:t>2022年本年收入合计3817万元，其中：一般公共预算财政拨款收入3817万元，占100%；政府性基金预算财政拨款收入0万元，占0%；国有资本经营预算财政拨款收入0万元，占0%；上级补助收入0万元，占0%；事业收入0万</w:t>
      </w:r>
      <w:r>
        <w:drawing>
          <wp:anchor distT="0" distB="0" distL="114300" distR="114300" simplePos="0" relativeHeight="251663360" behindDoc="0" locked="0" layoutInCell="1" allowOverlap="1">
            <wp:simplePos x="0" y="0"/>
            <wp:positionH relativeFrom="column">
              <wp:posOffset>-3810</wp:posOffset>
            </wp:positionH>
            <wp:positionV relativeFrom="paragraph">
              <wp:posOffset>638175</wp:posOffset>
            </wp:positionV>
            <wp:extent cx="5268595" cy="3002280"/>
            <wp:effectExtent l="4445" t="4445" r="22860" b="2222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snapToGrid w:val="0"/>
          <w:kern w:val="0"/>
          <w:sz w:val="32"/>
          <w:szCs w:val="32"/>
        </w:rPr>
        <w:t>元，占0%；经营收入0万元，占0%；附属单位上缴收入0万元，占0%；其他收入0万元，占0%。</w:t>
      </w:r>
      <w:bookmarkEnd w:id="30"/>
    </w:p>
    <w:p>
      <w:pPr>
        <w:spacing w:line="600" w:lineRule="exact"/>
        <w:ind w:firstLine="640" w:firstLineChars="200"/>
        <w:outlineLvl w:val="1"/>
        <w:rPr>
          <w:rFonts w:ascii="仿宋" w:hAnsi="仿宋" w:eastAsia="仿宋"/>
          <w:sz w:val="32"/>
          <w:szCs w:val="32"/>
        </w:rPr>
      </w:pPr>
    </w:p>
    <w:p>
      <w:pPr>
        <w:pStyle w:val="2"/>
        <w:spacing w:before="93"/>
      </w:pPr>
    </w:p>
    <w:p>
      <w:pPr>
        <w:pStyle w:val="2"/>
        <w:spacing w:before="93"/>
      </w:pPr>
    </w:p>
    <w:p>
      <w:pPr>
        <w:pStyle w:val="2"/>
        <w:spacing w:before="93"/>
      </w:pPr>
    </w:p>
    <w:p>
      <w:pPr>
        <w:pStyle w:val="2"/>
        <w:spacing w:before="93"/>
      </w:pPr>
    </w:p>
    <w:p>
      <w:pPr>
        <w:spacing w:line="600" w:lineRule="exact"/>
        <w:jc w:val="center"/>
        <w:rPr>
          <w:rFonts w:eastAsia="黑体"/>
          <w:sz w:val="32"/>
          <w:szCs w:val="32"/>
        </w:rPr>
      </w:pPr>
    </w:p>
    <w:p>
      <w:pPr>
        <w:spacing w:line="600" w:lineRule="exact"/>
        <w:rPr>
          <w:rFonts w:eastAsia="仿宋"/>
          <w:sz w:val="32"/>
          <w:szCs w:val="32"/>
        </w:rPr>
      </w:pPr>
    </w:p>
    <w:p>
      <w:pPr>
        <w:spacing w:line="317" w:lineRule="auto"/>
        <w:jc w:val="center"/>
        <w:rPr>
          <w:rFonts w:eastAsia="仿宋"/>
          <w:sz w:val="32"/>
          <w:szCs w:val="32"/>
        </w:rPr>
      </w:pPr>
      <w:r>
        <w:rPr>
          <w:rFonts w:eastAsia="仿宋"/>
          <w:sz w:val="32"/>
          <w:szCs w:val="32"/>
        </w:rPr>
        <w:t>（图2：收入决算结构图）</w:t>
      </w:r>
      <w:bookmarkStart w:id="31" w:name="_Toc12039"/>
      <w:bookmarkStart w:id="32" w:name="_Toc15377207"/>
      <w:bookmarkStart w:id="33" w:name="_Toc15396605"/>
    </w:p>
    <w:p>
      <w:pPr>
        <w:pStyle w:val="23"/>
        <w:adjustRightInd w:val="0"/>
        <w:snapToGrid w:val="0"/>
        <w:spacing w:line="317" w:lineRule="auto"/>
        <w:ind w:firstLine="0" w:firstLineChars="0"/>
        <w:outlineLvl w:val="1"/>
        <w:rPr>
          <w:rStyle w:val="25"/>
          <w:rFonts w:ascii="黑体" w:hAnsi="黑体" w:eastAsia="黑体" w:cs="黑体"/>
          <w:b w:val="0"/>
        </w:rPr>
      </w:pPr>
      <w:r>
        <w:rPr>
          <w:rFonts w:hint="eastAsia" w:ascii="黑体" w:hAnsi="黑体" w:eastAsia="黑体" w:cs="黑体"/>
          <w:sz w:val="32"/>
          <w:szCs w:val="32"/>
        </w:rPr>
        <w:t>　　三、支</w:t>
      </w:r>
      <w:r>
        <w:rPr>
          <w:rStyle w:val="25"/>
          <w:rFonts w:hint="eastAsia" w:ascii="黑体" w:hAnsi="黑体" w:eastAsia="黑体" w:cs="黑体"/>
          <w:b w:val="0"/>
        </w:rPr>
        <w:t>出决算情况说明</w:t>
      </w:r>
      <w:bookmarkEnd w:id="31"/>
      <w:bookmarkEnd w:id="32"/>
      <w:bookmarkEnd w:id="33"/>
    </w:p>
    <w:p>
      <w:pPr>
        <w:adjustRightInd w:val="0"/>
        <w:snapToGrid w:val="0"/>
        <w:spacing w:line="317" w:lineRule="auto"/>
        <w:outlineLvl w:val="1"/>
        <w:rPr>
          <w:rFonts w:ascii="仿宋" w:hAnsi="仿宋" w:eastAsia="仿宋"/>
          <w:sz w:val="32"/>
          <w:szCs w:val="32"/>
        </w:rPr>
      </w:pPr>
      <w:bookmarkStart w:id="34" w:name="_Toc3480"/>
      <w:r>
        <w:rPr>
          <w:rFonts w:hint="eastAsia" w:ascii="仿宋" w:hAnsi="仿宋" w:eastAsia="仿宋"/>
          <w:sz w:val="32"/>
          <w:szCs w:val="32"/>
        </w:rPr>
        <w:t>　　</w:t>
      </w:r>
      <w:r>
        <w:rPr>
          <w:rFonts w:eastAsia="仿宋"/>
          <w:sz w:val="32"/>
          <w:szCs w:val="32"/>
        </w:rPr>
        <w:t>2022年本年支出合计4031.96万元，其中：基本支出3506.96万元，占86.97%；项目支出525万元，占13.03%；</w:t>
      </w:r>
    </w:p>
    <w:p>
      <w:pPr>
        <w:adjustRightInd w:val="0"/>
        <w:snapToGrid w:val="0"/>
        <w:spacing w:line="317" w:lineRule="auto"/>
        <w:outlineLvl w:val="1"/>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71755</wp:posOffset>
            </wp:positionH>
            <wp:positionV relativeFrom="paragraph">
              <wp:posOffset>633730</wp:posOffset>
            </wp:positionV>
            <wp:extent cx="5196840" cy="2469515"/>
            <wp:effectExtent l="4445" t="4445" r="18415" b="21590"/>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Style w:val="2"/>
        <w:spacing w:before="93"/>
        <w:rPr>
          <w:rFonts w:ascii="仿宋" w:hAnsi="仿宋" w:eastAsia="仿宋"/>
          <w:sz w:val="32"/>
          <w:szCs w:val="32"/>
        </w:rPr>
      </w:pPr>
    </w:p>
    <w:p>
      <w:pPr>
        <w:spacing w:line="600" w:lineRule="exact"/>
        <w:ind w:firstLine="640"/>
        <w:rPr>
          <w:rFonts w:ascii="仿宋" w:hAnsi="仿宋" w:eastAsia="仿宋"/>
          <w:sz w:val="32"/>
          <w:szCs w:val="32"/>
          <w:shd w:val="pct10" w:color="auto" w:fill="FFFFFF"/>
        </w:rPr>
      </w:pPr>
    </w:p>
    <w:p>
      <w:pPr>
        <w:spacing w:line="353" w:lineRule="auto"/>
        <w:jc w:val="center"/>
        <w:rPr>
          <w:rFonts w:eastAsia="仿宋"/>
          <w:sz w:val="32"/>
          <w:szCs w:val="32"/>
        </w:rPr>
      </w:pPr>
    </w:p>
    <w:p>
      <w:pPr>
        <w:spacing w:line="353" w:lineRule="auto"/>
        <w:jc w:val="center"/>
        <w:rPr>
          <w:rFonts w:eastAsia="仿宋"/>
          <w:sz w:val="32"/>
          <w:szCs w:val="32"/>
        </w:rPr>
      </w:pPr>
    </w:p>
    <w:p>
      <w:pPr>
        <w:spacing w:line="353" w:lineRule="auto"/>
        <w:jc w:val="center"/>
        <w:rPr>
          <w:rFonts w:eastAsia="仿宋"/>
          <w:sz w:val="32"/>
          <w:szCs w:val="32"/>
        </w:rPr>
      </w:pPr>
    </w:p>
    <w:p>
      <w:pPr>
        <w:spacing w:line="353" w:lineRule="auto"/>
        <w:rPr>
          <w:rFonts w:eastAsia="仿宋"/>
          <w:sz w:val="32"/>
          <w:szCs w:val="32"/>
        </w:rPr>
      </w:pPr>
    </w:p>
    <w:p>
      <w:pPr>
        <w:spacing w:line="353" w:lineRule="auto"/>
        <w:jc w:val="center"/>
        <w:rPr>
          <w:rFonts w:eastAsia="黑体"/>
          <w:sz w:val="32"/>
          <w:szCs w:val="32"/>
        </w:rPr>
      </w:pPr>
      <w:r>
        <w:rPr>
          <w:rFonts w:eastAsia="仿宋"/>
          <w:sz w:val="32"/>
          <w:szCs w:val="32"/>
        </w:rPr>
        <w:t>（图3：支出决算结构图）</w:t>
      </w:r>
      <w:bookmarkStart w:id="35" w:name="_Toc15377208"/>
      <w:bookmarkStart w:id="36" w:name="_Toc15396606"/>
      <w:bookmarkStart w:id="37" w:name="_Toc15292"/>
    </w:p>
    <w:p>
      <w:pPr>
        <w:adjustRightInd w:val="0"/>
        <w:snapToGrid w:val="0"/>
        <w:spacing w:line="353" w:lineRule="auto"/>
        <w:outlineLvl w:val="1"/>
        <w:rPr>
          <w:rStyle w:val="25"/>
          <w:rFonts w:ascii="Times New Roman" w:hAnsi="Times New Roman" w:eastAsia="黑体" w:cs="Times New Roman"/>
          <w:b w:val="0"/>
        </w:rPr>
      </w:pPr>
      <w:r>
        <w:rPr>
          <w:rFonts w:hint="eastAsia" w:eastAsia="黑体"/>
          <w:sz w:val="32"/>
          <w:szCs w:val="32"/>
        </w:rPr>
        <w:t>　　</w:t>
      </w:r>
      <w:r>
        <w:rPr>
          <w:rFonts w:eastAsia="黑体"/>
          <w:sz w:val="32"/>
          <w:szCs w:val="32"/>
        </w:rPr>
        <w:t>四、财</w:t>
      </w:r>
      <w:r>
        <w:rPr>
          <w:rStyle w:val="25"/>
          <w:rFonts w:ascii="Times New Roman" w:hAnsi="Times New Roman" w:eastAsia="黑体" w:cs="Times New Roman"/>
          <w:b w:val="0"/>
        </w:rPr>
        <w:t>政拨款收入支出决算总体情况说明</w:t>
      </w:r>
      <w:bookmarkEnd w:id="35"/>
      <w:bookmarkEnd w:id="36"/>
      <w:bookmarkEnd w:id="37"/>
    </w:p>
    <w:p>
      <w:pPr>
        <w:adjustRightInd w:val="0"/>
        <w:snapToGrid w:val="0"/>
        <w:spacing w:line="353" w:lineRule="auto"/>
        <w:rPr>
          <w:rFonts w:ascii="仿宋" w:hAnsi="仿宋" w:eastAsia="仿宋"/>
          <w:sz w:val="32"/>
          <w:szCs w:val="32"/>
        </w:rPr>
      </w:pPr>
      <w:r>
        <w:rPr>
          <w:rFonts w:hint="eastAsia" w:eastAsia="仿宋"/>
          <w:sz w:val="32"/>
          <w:szCs w:val="32"/>
        </w:rPr>
        <w:t>　　</w:t>
      </w:r>
      <w:r>
        <w:rPr>
          <w:rFonts w:eastAsia="仿宋"/>
          <w:sz w:val="32"/>
          <w:szCs w:val="32"/>
        </w:rPr>
        <w:t>2022年财政拨款收、支总计均为4051.66万元。与2021年相比，财政拨款收、支总计各增加464.76万元，增长12.96%。主要变动原因是新增划转市大数据中心及市决策咨询</w:t>
      </w:r>
      <w:r>
        <w:rPr>
          <w:rFonts w:hint="eastAsia" w:eastAsia="仿宋"/>
          <w:sz w:val="32"/>
          <w:szCs w:val="32"/>
        </w:rPr>
        <w:t>服务</w:t>
      </w:r>
      <w:r>
        <w:rPr>
          <w:rFonts w:eastAsia="仿宋"/>
          <w:sz w:val="32"/>
          <w:szCs w:val="32"/>
        </w:rPr>
        <w:t>中心两个机构，导致人员经费和公用经费增加。</w:t>
      </w:r>
    </w:p>
    <w:p>
      <w:pPr>
        <w:spacing w:line="600" w:lineRule="exact"/>
        <w:ind w:firstLine="64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11430</wp:posOffset>
            </wp:positionV>
            <wp:extent cx="5304155" cy="3163570"/>
            <wp:effectExtent l="4445" t="4445" r="6350" b="1333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adjustRightInd w:val="0"/>
        <w:snapToGrid w:val="0"/>
        <w:spacing w:line="353" w:lineRule="auto"/>
        <w:rPr>
          <w:rFonts w:eastAsia="黑体"/>
          <w:sz w:val="32"/>
          <w:szCs w:val="32"/>
        </w:rPr>
      </w:pPr>
    </w:p>
    <w:p>
      <w:pPr>
        <w:adjustRightInd w:val="0"/>
        <w:snapToGrid w:val="0"/>
        <w:spacing w:line="353" w:lineRule="auto"/>
        <w:jc w:val="center"/>
        <w:rPr>
          <w:rFonts w:eastAsia="黑体"/>
          <w:sz w:val="32"/>
          <w:szCs w:val="32"/>
        </w:rPr>
      </w:pPr>
    </w:p>
    <w:p>
      <w:pPr>
        <w:adjustRightInd w:val="0"/>
        <w:snapToGrid w:val="0"/>
        <w:spacing w:line="353" w:lineRule="auto"/>
        <w:jc w:val="center"/>
        <w:rPr>
          <w:rFonts w:eastAsia="黑体"/>
          <w:sz w:val="32"/>
          <w:szCs w:val="32"/>
        </w:rPr>
      </w:pPr>
    </w:p>
    <w:p>
      <w:pPr>
        <w:adjustRightInd w:val="0"/>
        <w:snapToGrid w:val="0"/>
        <w:spacing w:line="353" w:lineRule="auto"/>
        <w:jc w:val="center"/>
        <w:rPr>
          <w:rFonts w:eastAsia="黑体"/>
          <w:sz w:val="32"/>
          <w:szCs w:val="32"/>
        </w:rPr>
      </w:pPr>
    </w:p>
    <w:p>
      <w:pPr>
        <w:adjustRightInd w:val="0"/>
        <w:snapToGrid w:val="0"/>
        <w:spacing w:line="353" w:lineRule="auto"/>
        <w:jc w:val="center"/>
        <w:rPr>
          <w:rFonts w:eastAsia="仿宋"/>
          <w:sz w:val="32"/>
          <w:szCs w:val="32"/>
        </w:rPr>
      </w:pPr>
    </w:p>
    <w:p>
      <w:pPr>
        <w:adjustRightInd w:val="0"/>
        <w:snapToGrid w:val="0"/>
        <w:spacing w:line="353" w:lineRule="auto"/>
        <w:jc w:val="center"/>
        <w:rPr>
          <w:rFonts w:eastAsia="仿宋"/>
          <w:b/>
          <w:sz w:val="32"/>
          <w:szCs w:val="32"/>
        </w:rPr>
      </w:pPr>
      <w:r>
        <w:rPr>
          <w:rFonts w:eastAsia="仿宋"/>
          <w:sz w:val="32"/>
          <w:szCs w:val="32"/>
        </w:rPr>
        <w:t>（图4：财政拨款收、支决算总计变动情况）</w:t>
      </w:r>
    </w:p>
    <w:p>
      <w:pPr>
        <w:adjustRightInd w:val="0"/>
        <w:snapToGrid w:val="0"/>
        <w:spacing w:line="353" w:lineRule="auto"/>
        <w:rPr>
          <w:rFonts w:ascii="黑体" w:hAnsi="黑体" w:eastAsia="黑体" w:cs="黑体"/>
          <w:snapToGrid w:val="0"/>
          <w:kern w:val="0"/>
          <w:sz w:val="32"/>
          <w:szCs w:val="32"/>
        </w:rPr>
      </w:pPr>
      <w:bookmarkStart w:id="38" w:name="_Toc15396607"/>
      <w:bookmarkStart w:id="39" w:name="_Toc15377209"/>
      <w:bookmarkStart w:id="40" w:name="_Toc26618"/>
      <w:r>
        <w:rPr>
          <w:rFonts w:hint="eastAsia" w:ascii="黑体" w:hAnsi="黑体" w:eastAsia="黑体" w:cs="黑体"/>
          <w:snapToGrid w:val="0"/>
          <w:kern w:val="0"/>
          <w:sz w:val="32"/>
          <w:szCs w:val="32"/>
        </w:rPr>
        <w:t>　　五、一般公共预算财政拨款支出决算情况说明</w:t>
      </w:r>
      <w:bookmarkEnd w:id="38"/>
      <w:bookmarkEnd w:id="39"/>
      <w:bookmarkEnd w:id="40"/>
    </w:p>
    <w:p>
      <w:pPr>
        <w:adjustRightInd w:val="0"/>
        <w:snapToGrid w:val="0"/>
        <w:spacing w:line="353" w:lineRule="auto"/>
        <w:rPr>
          <w:rFonts w:ascii="楷体" w:hAnsi="楷体" w:eastAsia="楷体" w:cs="楷体"/>
          <w:snapToGrid w:val="0"/>
          <w:kern w:val="0"/>
          <w:sz w:val="32"/>
          <w:szCs w:val="32"/>
        </w:rPr>
      </w:pPr>
      <w:bookmarkStart w:id="41" w:name="_Toc17074"/>
      <w:bookmarkStart w:id="42" w:name="_Toc15377210"/>
      <w:r>
        <w:rPr>
          <w:rFonts w:hint="eastAsia" w:ascii="楷体" w:hAnsi="楷体" w:eastAsia="楷体" w:cs="楷体"/>
          <w:snapToGrid w:val="0"/>
          <w:kern w:val="0"/>
          <w:sz w:val="32"/>
          <w:szCs w:val="32"/>
        </w:rPr>
        <w:t>　　（一）一般公共预算财政拨款支出决算总体情况</w:t>
      </w:r>
      <w:bookmarkEnd w:id="41"/>
      <w:bookmarkEnd w:id="42"/>
      <w:r>
        <w:rPr>
          <w:rFonts w:hint="eastAsia" w:ascii="楷体" w:hAnsi="楷体" w:eastAsia="楷体" w:cs="楷体"/>
          <w:snapToGrid w:val="0"/>
          <w:kern w:val="0"/>
          <w:sz w:val="32"/>
          <w:szCs w:val="32"/>
        </w:rPr>
        <w:t>。</w:t>
      </w:r>
    </w:p>
    <w:p>
      <w:pPr>
        <w:adjustRightInd w:val="0"/>
        <w:snapToGrid w:val="0"/>
        <w:spacing w:line="353" w:lineRule="auto"/>
        <w:ind w:firstLine="640"/>
        <w:rPr>
          <w:rFonts w:eastAsia="仿宋"/>
          <w:snapToGrid w:val="0"/>
          <w:kern w:val="0"/>
          <w:sz w:val="32"/>
          <w:szCs w:val="32"/>
        </w:rPr>
      </w:pPr>
      <w:r>
        <w:rPr>
          <w:rFonts w:eastAsia="仿宋"/>
          <w:snapToGrid w:val="0"/>
          <w:kern w:val="0"/>
          <w:sz w:val="32"/>
          <w:szCs w:val="32"/>
        </w:rPr>
        <w:t>2022年一般公共预算财政拨款支出4031.96万元，占本年支出合计的100%。与2021年相比，一般公共预算财政拨款支出增加546.22万元，增长15.67%。主要变动原因是新增划转市大数据中心及市决策咨询</w:t>
      </w:r>
      <w:r>
        <w:rPr>
          <w:rFonts w:hint="eastAsia" w:eastAsia="仿宋"/>
          <w:snapToGrid w:val="0"/>
          <w:kern w:val="0"/>
          <w:sz w:val="32"/>
          <w:szCs w:val="32"/>
        </w:rPr>
        <w:t>服务</w:t>
      </w:r>
      <w:r>
        <w:rPr>
          <w:rFonts w:eastAsia="仿宋"/>
          <w:snapToGrid w:val="0"/>
          <w:kern w:val="0"/>
          <w:sz w:val="32"/>
          <w:szCs w:val="32"/>
        </w:rPr>
        <w:t>中心两个机构，导致人员经费和公用经费增加。</w:t>
      </w:r>
    </w:p>
    <w:p>
      <w:pPr>
        <w:pStyle w:val="2"/>
        <w:spacing w:before="93"/>
      </w:pPr>
    </w:p>
    <w:p>
      <w:pPr>
        <w:pStyle w:val="2"/>
        <w:adjustRightInd w:val="0"/>
        <w:snapToGrid w:val="0"/>
        <w:spacing w:beforeLines="0" w:line="353" w:lineRule="auto"/>
      </w:pPr>
      <w:r>
        <w:drawing>
          <wp:anchor distT="0" distB="0" distL="114300" distR="114300" simplePos="0" relativeHeight="251661312" behindDoc="0" locked="0" layoutInCell="1" allowOverlap="1">
            <wp:simplePos x="0" y="0"/>
            <wp:positionH relativeFrom="column">
              <wp:posOffset>-67945</wp:posOffset>
            </wp:positionH>
            <wp:positionV relativeFrom="paragraph">
              <wp:posOffset>65405</wp:posOffset>
            </wp:positionV>
            <wp:extent cx="5321300" cy="3112770"/>
            <wp:effectExtent l="4445" t="4445" r="8255" b="698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353" w:lineRule="auto"/>
        <w:rPr>
          <w:rFonts w:eastAsia="仿宋"/>
          <w:sz w:val="32"/>
          <w:szCs w:val="32"/>
        </w:rPr>
      </w:pPr>
    </w:p>
    <w:p>
      <w:pPr>
        <w:spacing w:line="353" w:lineRule="auto"/>
        <w:jc w:val="center"/>
        <w:rPr>
          <w:rFonts w:eastAsia="仿宋"/>
          <w:sz w:val="32"/>
          <w:szCs w:val="32"/>
        </w:rPr>
      </w:pPr>
    </w:p>
    <w:p>
      <w:pPr>
        <w:spacing w:line="353" w:lineRule="auto"/>
        <w:jc w:val="center"/>
        <w:rPr>
          <w:rFonts w:eastAsia="仿宋"/>
          <w:sz w:val="32"/>
          <w:szCs w:val="32"/>
        </w:rPr>
      </w:pPr>
    </w:p>
    <w:p>
      <w:pPr>
        <w:spacing w:line="353" w:lineRule="auto"/>
        <w:jc w:val="center"/>
        <w:rPr>
          <w:rFonts w:eastAsia="黑体"/>
          <w:sz w:val="32"/>
          <w:szCs w:val="32"/>
        </w:rPr>
      </w:pPr>
      <w:r>
        <w:rPr>
          <w:rFonts w:eastAsia="仿宋"/>
          <w:sz w:val="32"/>
          <w:szCs w:val="32"/>
        </w:rPr>
        <w:t>（图5：一般公共预算财政拨款支出决算变动情况）</w:t>
      </w:r>
    </w:p>
    <w:p>
      <w:pPr>
        <w:adjustRightInd w:val="0"/>
        <w:snapToGrid w:val="0"/>
        <w:spacing w:line="353" w:lineRule="auto"/>
        <w:outlineLvl w:val="2"/>
        <w:rPr>
          <w:rFonts w:ascii="楷体" w:hAnsi="楷体" w:eastAsia="楷体" w:cs="楷体"/>
          <w:bCs/>
          <w:snapToGrid w:val="0"/>
          <w:kern w:val="0"/>
          <w:sz w:val="32"/>
          <w:szCs w:val="32"/>
        </w:rPr>
      </w:pPr>
      <w:bookmarkStart w:id="43" w:name="_Toc18917"/>
      <w:bookmarkStart w:id="44" w:name="_Toc15377211"/>
      <w:r>
        <w:rPr>
          <w:rFonts w:hint="eastAsia" w:ascii="楷体" w:hAnsi="楷体" w:eastAsia="楷体" w:cs="楷体"/>
          <w:bCs/>
          <w:snapToGrid w:val="0"/>
          <w:kern w:val="0"/>
          <w:sz w:val="32"/>
          <w:szCs w:val="32"/>
        </w:rPr>
        <w:t>　　（二）一般公共预算财政拨款支出决算结构情况</w:t>
      </w:r>
      <w:bookmarkEnd w:id="43"/>
      <w:bookmarkEnd w:id="44"/>
      <w:r>
        <w:rPr>
          <w:rFonts w:hint="eastAsia" w:ascii="楷体" w:hAnsi="楷体" w:eastAsia="楷体" w:cs="楷体"/>
          <w:bCs/>
          <w:snapToGrid w:val="0"/>
          <w:kern w:val="0"/>
          <w:sz w:val="32"/>
          <w:szCs w:val="32"/>
        </w:rPr>
        <w:t>。</w:t>
      </w:r>
    </w:p>
    <w:p>
      <w:pPr>
        <w:adjustRightInd w:val="0"/>
        <w:snapToGrid w:val="0"/>
        <w:spacing w:line="353" w:lineRule="auto"/>
        <w:rPr>
          <w:rFonts w:eastAsia="仿宋"/>
          <w:b/>
          <w:snapToGrid w:val="0"/>
          <w:kern w:val="0"/>
          <w:sz w:val="32"/>
          <w:szCs w:val="32"/>
        </w:rPr>
      </w:pPr>
      <w:r>
        <w:rPr>
          <w:snapToGrid w:val="0"/>
          <w:kern w:val="0"/>
        </w:rPr>
        <w:drawing>
          <wp:anchor distT="0" distB="0" distL="114300" distR="114300" simplePos="0" relativeHeight="251662336" behindDoc="0" locked="0" layoutInCell="1" allowOverlap="1">
            <wp:simplePos x="0" y="0"/>
            <wp:positionH relativeFrom="column">
              <wp:posOffset>17780</wp:posOffset>
            </wp:positionH>
            <wp:positionV relativeFrom="paragraph">
              <wp:posOffset>1523365</wp:posOffset>
            </wp:positionV>
            <wp:extent cx="5219065" cy="3135630"/>
            <wp:effectExtent l="4445" t="4445" r="15240" b="2222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eastAsia="仿宋"/>
          <w:snapToGrid w:val="0"/>
          <w:kern w:val="0"/>
          <w:sz w:val="32"/>
          <w:szCs w:val="32"/>
        </w:rPr>
        <w:t>　　</w:t>
      </w:r>
      <w:r>
        <w:rPr>
          <w:rFonts w:eastAsia="仿宋"/>
          <w:snapToGrid w:val="0"/>
          <w:kern w:val="0"/>
          <w:sz w:val="32"/>
          <w:szCs w:val="32"/>
        </w:rPr>
        <w:t>2022年一般公共预算财政拨款支出4031.96万元，主要用于以下方面:</w:t>
      </w:r>
      <w:r>
        <w:rPr>
          <w:rFonts w:eastAsia="仿宋"/>
          <w:b/>
          <w:snapToGrid w:val="0"/>
          <w:kern w:val="0"/>
          <w:sz w:val="32"/>
          <w:szCs w:val="32"/>
        </w:rPr>
        <w:t>一般公共服务</w:t>
      </w:r>
      <w:r>
        <w:rPr>
          <w:rFonts w:eastAsia="仿宋"/>
          <w:b/>
          <w:bCs/>
          <w:snapToGrid w:val="0"/>
          <w:kern w:val="0"/>
          <w:sz w:val="32"/>
          <w:szCs w:val="32"/>
        </w:rPr>
        <w:t>支出</w:t>
      </w:r>
      <w:r>
        <w:rPr>
          <w:rFonts w:eastAsia="仿宋"/>
          <w:snapToGrid w:val="0"/>
          <w:kern w:val="0"/>
          <w:sz w:val="32"/>
          <w:szCs w:val="32"/>
        </w:rPr>
        <w:t>3062.07万元，占75.95%；</w:t>
      </w:r>
      <w:r>
        <w:rPr>
          <w:rFonts w:eastAsia="仿宋"/>
          <w:b/>
          <w:snapToGrid w:val="0"/>
          <w:kern w:val="0"/>
          <w:sz w:val="32"/>
          <w:szCs w:val="32"/>
        </w:rPr>
        <w:t>科学技术</w:t>
      </w:r>
      <w:r>
        <w:rPr>
          <w:rFonts w:eastAsia="仿宋"/>
          <w:b/>
          <w:bCs/>
          <w:snapToGrid w:val="0"/>
          <w:kern w:val="0"/>
          <w:sz w:val="32"/>
          <w:szCs w:val="32"/>
        </w:rPr>
        <w:t>支出</w:t>
      </w:r>
      <w:r>
        <w:rPr>
          <w:rFonts w:eastAsia="仿宋"/>
          <w:snapToGrid w:val="0"/>
          <w:kern w:val="0"/>
          <w:sz w:val="32"/>
          <w:szCs w:val="32"/>
        </w:rPr>
        <w:t>22.71万元，占0.56%；</w:t>
      </w:r>
      <w:r>
        <w:rPr>
          <w:rFonts w:eastAsia="仿宋"/>
          <w:b/>
          <w:snapToGrid w:val="0"/>
          <w:kern w:val="0"/>
          <w:sz w:val="32"/>
          <w:szCs w:val="32"/>
        </w:rPr>
        <w:t>社会保障和就业</w:t>
      </w:r>
      <w:r>
        <w:rPr>
          <w:rFonts w:eastAsia="仿宋"/>
          <w:b/>
          <w:bCs/>
          <w:snapToGrid w:val="0"/>
          <w:kern w:val="0"/>
          <w:sz w:val="32"/>
          <w:szCs w:val="32"/>
        </w:rPr>
        <w:t>支出</w:t>
      </w:r>
      <w:r>
        <w:rPr>
          <w:rFonts w:eastAsia="仿宋"/>
          <w:snapToGrid w:val="0"/>
          <w:kern w:val="0"/>
          <w:sz w:val="32"/>
          <w:szCs w:val="32"/>
        </w:rPr>
        <w:t>711.59万元，占17.65%；</w:t>
      </w:r>
      <w:r>
        <w:rPr>
          <w:rFonts w:eastAsia="仿宋"/>
          <w:b/>
          <w:bCs/>
          <w:snapToGrid w:val="0"/>
          <w:kern w:val="0"/>
          <w:sz w:val="32"/>
          <w:szCs w:val="32"/>
        </w:rPr>
        <w:t>住房保障支出</w:t>
      </w:r>
      <w:r>
        <w:rPr>
          <w:rFonts w:eastAsia="仿宋"/>
          <w:snapToGrid w:val="0"/>
          <w:kern w:val="0"/>
          <w:sz w:val="32"/>
          <w:szCs w:val="32"/>
        </w:rPr>
        <w:t>235.59万元，占5.84%。</w:t>
      </w:r>
    </w:p>
    <w:p>
      <w:pPr>
        <w:spacing w:line="600" w:lineRule="exact"/>
        <w:ind w:firstLine="64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353" w:lineRule="auto"/>
        <w:rPr>
          <w:rFonts w:eastAsia="黑体"/>
          <w:sz w:val="32"/>
          <w:szCs w:val="32"/>
        </w:rPr>
      </w:pPr>
    </w:p>
    <w:p>
      <w:pPr>
        <w:pStyle w:val="2"/>
        <w:spacing w:before="93"/>
        <w:rPr>
          <w:rFonts w:eastAsia="黑体"/>
          <w:sz w:val="32"/>
          <w:szCs w:val="32"/>
        </w:rPr>
      </w:pPr>
    </w:p>
    <w:p>
      <w:pPr>
        <w:spacing w:line="353" w:lineRule="auto"/>
        <w:jc w:val="center"/>
        <w:rPr>
          <w:rFonts w:eastAsia="黑体"/>
          <w:sz w:val="32"/>
          <w:szCs w:val="32"/>
        </w:rPr>
      </w:pPr>
      <w:r>
        <w:rPr>
          <w:rFonts w:eastAsia="仿宋"/>
          <w:sz w:val="32"/>
          <w:szCs w:val="32"/>
        </w:rPr>
        <w:t>（图6：一般公共预算财政拨款支出决算结构）</w:t>
      </w:r>
    </w:p>
    <w:p>
      <w:pPr>
        <w:adjustRightInd w:val="0"/>
        <w:snapToGrid w:val="0"/>
        <w:spacing w:line="353" w:lineRule="auto"/>
        <w:rPr>
          <w:rFonts w:ascii="楷体" w:hAnsi="楷体" w:eastAsia="楷体" w:cs="楷体"/>
          <w:snapToGrid w:val="0"/>
          <w:kern w:val="0"/>
          <w:sz w:val="32"/>
          <w:szCs w:val="32"/>
        </w:rPr>
      </w:pPr>
      <w:bookmarkStart w:id="45" w:name="_Toc3369"/>
      <w:bookmarkStart w:id="46" w:name="_Toc15377212"/>
      <w:r>
        <w:rPr>
          <w:rFonts w:hint="eastAsia" w:ascii="楷体" w:hAnsi="楷体" w:eastAsia="楷体" w:cs="楷体"/>
          <w:snapToGrid w:val="0"/>
          <w:kern w:val="0"/>
          <w:sz w:val="32"/>
          <w:szCs w:val="32"/>
        </w:rPr>
        <w:t>　　（三）一般公共预算财政拨款支出决算具体情况</w:t>
      </w:r>
      <w:bookmarkEnd w:id="45"/>
      <w:bookmarkEnd w:id="46"/>
      <w:r>
        <w:rPr>
          <w:rFonts w:hint="eastAsia" w:ascii="楷体" w:hAnsi="楷体" w:eastAsia="楷体" w:cs="楷体"/>
          <w:snapToGrid w:val="0"/>
          <w:kern w:val="0"/>
          <w:sz w:val="32"/>
          <w:szCs w:val="32"/>
        </w:rPr>
        <w:t>。</w:t>
      </w:r>
    </w:p>
    <w:p>
      <w:pPr>
        <w:adjustRightInd w:val="0"/>
        <w:snapToGrid w:val="0"/>
        <w:spacing w:line="353" w:lineRule="auto"/>
        <w:rPr>
          <w:rFonts w:eastAsia="仿宋"/>
          <w:snapToGrid w:val="0"/>
          <w:kern w:val="0"/>
          <w:sz w:val="32"/>
          <w:szCs w:val="32"/>
        </w:rPr>
      </w:pPr>
      <w:bookmarkStart w:id="47" w:name="_Toc15377213"/>
      <w:bookmarkStart w:id="48" w:name="_Toc15377444"/>
      <w:bookmarkStart w:id="49" w:name="_Toc7152"/>
      <w:bookmarkStart w:id="50" w:name="_Toc15378460"/>
      <w:r>
        <w:rPr>
          <w:rFonts w:hint="eastAsia" w:eastAsia="仿宋"/>
          <w:snapToGrid w:val="0"/>
          <w:kern w:val="0"/>
          <w:sz w:val="32"/>
          <w:szCs w:val="32"/>
        </w:rPr>
        <w:t>　　</w:t>
      </w:r>
      <w:r>
        <w:rPr>
          <w:rFonts w:eastAsia="仿宋"/>
          <w:snapToGrid w:val="0"/>
          <w:kern w:val="0"/>
          <w:sz w:val="32"/>
          <w:szCs w:val="32"/>
        </w:rPr>
        <w:t>2022年一般公共预算支出决算数为4031.96，完成预算100%。其中：</w:t>
      </w:r>
      <w:bookmarkEnd w:id="47"/>
      <w:bookmarkEnd w:id="48"/>
      <w:bookmarkEnd w:id="49"/>
      <w:bookmarkEnd w:id="50"/>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w:t>
      </w:r>
      <w:r>
        <w:rPr>
          <w:rFonts w:hint="eastAsia" w:eastAsia="仿宋"/>
          <w:snapToGrid w:val="0"/>
          <w:kern w:val="0"/>
          <w:sz w:val="32"/>
          <w:szCs w:val="32"/>
        </w:rPr>
        <w:t>．</w:t>
      </w:r>
      <w:r>
        <w:rPr>
          <w:rFonts w:eastAsia="仿宋"/>
          <w:snapToGrid w:val="0"/>
          <w:kern w:val="0"/>
          <w:sz w:val="32"/>
          <w:szCs w:val="32"/>
        </w:rPr>
        <w:t>一般公共服务支出（类）政府办公厅（室）及相关机构事务（款）行政运行（项）: 支出决算为2342.15万元，完成预算100%。</w:t>
      </w: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w:t>
      </w:r>
      <w:r>
        <w:rPr>
          <w:rFonts w:hint="eastAsia" w:eastAsia="仿宋"/>
          <w:snapToGrid w:val="0"/>
          <w:kern w:val="0"/>
          <w:sz w:val="32"/>
          <w:szCs w:val="32"/>
        </w:rPr>
        <w:t>．</w:t>
      </w:r>
      <w:r>
        <w:rPr>
          <w:rFonts w:eastAsia="仿宋"/>
          <w:snapToGrid w:val="0"/>
          <w:kern w:val="0"/>
          <w:sz w:val="32"/>
          <w:szCs w:val="32"/>
        </w:rPr>
        <w:t>一般公共服务支出（类）政府办公厅（室）及相关机构事务（款）一般行政管理事务（项）: 支出决算为524.37万元，完成预算100%。</w:t>
      </w: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3</w:t>
      </w:r>
      <w:r>
        <w:rPr>
          <w:rFonts w:hint="eastAsia" w:eastAsia="仿宋"/>
          <w:snapToGrid w:val="0"/>
          <w:kern w:val="0"/>
          <w:sz w:val="32"/>
          <w:szCs w:val="32"/>
        </w:rPr>
        <w:t>．</w:t>
      </w:r>
      <w:r>
        <w:rPr>
          <w:rFonts w:eastAsia="仿宋"/>
          <w:snapToGrid w:val="0"/>
          <w:kern w:val="0"/>
          <w:sz w:val="32"/>
          <w:szCs w:val="32"/>
        </w:rPr>
        <w:t>一般公共服务支出（类）政府办公厅（室）及相关机构事务（款）事业运行（项）: 支出决算为195.55万元，完成预算100%。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4</w:t>
      </w:r>
      <w:r>
        <w:rPr>
          <w:rFonts w:hint="eastAsia" w:eastAsia="仿宋"/>
          <w:snapToGrid w:val="0"/>
          <w:kern w:val="0"/>
          <w:sz w:val="32"/>
          <w:szCs w:val="32"/>
        </w:rPr>
        <w:t>．</w:t>
      </w:r>
      <w:r>
        <w:rPr>
          <w:rFonts w:eastAsia="仿宋"/>
          <w:snapToGrid w:val="0"/>
          <w:kern w:val="0"/>
          <w:sz w:val="32"/>
          <w:szCs w:val="32"/>
        </w:rPr>
        <w:t>科学技术支出（类）其他科学技术支出（款）其他科学技术支出（项）: 支出决算为22.71万元，完成预算</w:t>
      </w:r>
      <w:r>
        <w:rPr>
          <w:rFonts w:hint="eastAsia" w:eastAsia="仿宋"/>
          <w:snapToGrid w:val="0"/>
          <w:kern w:val="0"/>
          <w:sz w:val="32"/>
          <w:szCs w:val="32"/>
          <w:lang w:val="en-US" w:eastAsia="zh-CN"/>
        </w:rPr>
        <w:t>100</w:t>
      </w:r>
      <w:r>
        <w:rPr>
          <w:rFonts w:eastAsia="仿宋"/>
          <w:snapToGrid w:val="0"/>
          <w:kern w:val="0"/>
          <w:sz w:val="32"/>
          <w:szCs w:val="32"/>
        </w:rPr>
        <w:t>%。</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5</w:t>
      </w:r>
      <w:r>
        <w:rPr>
          <w:rFonts w:hint="eastAsia" w:eastAsia="仿宋"/>
          <w:snapToGrid w:val="0"/>
          <w:kern w:val="0"/>
          <w:sz w:val="32"/>
          <w:szCs w:val="32"/>
        </w:rPr>
        <w:t>．</w:t>
      </w:r>
      <w:r>
        <w:rPr>
          <w:rFonts w:eastAsia="仿宋"/>
          <w:snapToGrid w:val="0"/>
          <w:kern w:val="0"/>
          <w:sz w:val="32"/>
          <w:szCs w:val="32"/>
        </w:rPr>
        <w:t>社会保障和就业支出（类）人力资源和社会保障管理事务（款）其他人力资源和社会保障管理事务支出（项）: 支出决算为1万元，完成预算100%。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6</w:t>
      </w:r>
      <w:r>
        <w:rPr>
          <w:rFonts w:hint="eastAsia" w:eastAsia="仿宋"/>
          <w:snapToGrid w:val="0"/>
          <w:kern w:val="0"/>
          <w:sz w:val="32"/>
          <w:szCs w:val="32"/>
        </w:rPr>
        <w:t>．</w:t>
      </w:r>
      <w:r>
        <w:rPr>
          <w:rFonts w:eastAsia="仿宋"/>
          <w:snapToGrid w:val="0"/>
          <w:kern w:val="0"/>
          <w:sz w:val="32"/>
          <w:szCs w:val="32"/>
        </w:rPr>
        <w:t>社会保障和就业支出（类）行政事业单位养老支出（款）行政单位离退休（项）</w:t>
      </w:r>
      <w:r>
        <w:rPr>
          <w:rFonts w:hint="eastAsia" w:eastAsia="仿宋"/>
          <w:snapToGrid w:val="0"/>
          <w:kern w:val="0"/>
          <w:sz w:val="32"/>
          <w:szCs w:val="32"/>
        </w:rPr>
        <w:t>：</w:t>
      </w:r>
      <w:r>
        <w:rPr>
          <w:rFonts w:eastAsia="仿宋"/>
          <w:snapToGrid w:val="0"/>
          <w:kern w:val="0"/>
          <w:sz w:val="32"/>
          <w:szCs w:val="32"/>
        </w:rPr>
        <w:t>支出决算为509.90万元，完成预算100%。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7</w:t>
      </w:r>
      <w:r>
        <w:rPr>
          <w:rFonts w:hint="eastAsia" w:eastAsia="仿宋"/>
          <w:snapToGrid w:val="0"/>
          <w:kern w:val="0"/>
          <w:sz w:val="32"/>
          <w:szCs w:val="32"/>
        </w:rPr>
        <w:t>．</w:t>
      </w:r>
      <w:r>
        <w:rPr>
          <w:rFonts w:eastAsia="仿宋"/>
          <w:snapToGrid w:val="0"/>
          <w:kern w:val="0"/>
          <w:sz w:val="32"/>
          <w:szCs w:val="32"/>
        </w:rPr>
        <w:t>社会保障和就业支出（类）行政事业单位养老支出（款）事业单位离退休（项）: 支出决算为1.16万元，完成预算100%。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8</w:t>
      </w:r>
      <w:r>
        <w:rPr>
          <w:rFonts w:hint="eastAsia" w:eastAsia="仿宋"/>
          <w:snapToGrid w:val="0"/>
          <w:kern w:val="0"/>
          <w:sz w:val="32"/>
          <w:szCs w:val="32"/>
        </w:rPr>
        <w:t>．</w:t>
      </w:r>
      <w:r>
        <w:rPr>
          <w:rFonts w:eastAsia="仿宋"/>
          <w:snapToGrid w:val="0"/>
          <w:kern w:val="0"/>
          <w:sz w:val="32"/>
          <w:szCs w:val="32"/>
        </w:rPr>
        <w:t>社会保障和就业支出（类）行政事业单位养老支出（款）机关事业单位基本养老保险缴费支出（项）: 支出决算为173.85万元，完成预算100%。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9</w:t>
      </w:r>
      <w:r>
        <w:rPr>
          <w:rFonts w:hint="eastAsia" w:eastAsia="仿宋"/>
          <w:snapToGrid w:val="0"/>
          <w:kern w:val="0"/>
          <w:sz w:val="32"/>
          <w:szCs w:val="32"/>
        </w:rPr>
        <w:t>．</w:t>
      </w:r>
      <w:r>
        <w:rPr>
          <w:rFonts w:eastAsia="仿宋"/>
          <w:snapToGrid w:val="0"/>
          <w:kern w:val="0"/>
          <w:sz w:val="32"/>
          <w:szCs w:val="32"/>
        </w:rPr>
        <w:t>社会保障和就业支出（类）抚恤（款）死亡抚恤（项）: 支出决算为25.05万元，完成预算100%。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10</w:t>
      </w:r>
      <w:r>
        <w:rPr>
          <w:rFonts w:hint="eastAsia" w:eastAsia="仿宋"/>
          <w:snapToGrid w:val="0"/>
          <w:kern w:val="0"/>
          <w:sz w:val="32"/>
          <w:szCs w:val="32"/>
        </w:rPr>
        <w:t>．</w:t>
      </w:r>
      <w:r>
        <w:rPr>
          <w:rFonts w:eastAsia="仿宋"/>
          <w:snapToGrid w:val="0"/>
          <w:kern w:val="0"/>
          <w:sz w:val="32"/>
          <w:szCs w:val="32"/>
        </w:rPr>
        <w:t>社会保障和就业支出（类）社会福利（款）儿童福利（项）: 支出决算为0.63万元，完成预算100%。</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11</w:t>
      </w:r>
      <w:r>
        <w:rPr>
          <w:rFonts w:hint="eastAsia" w:eastAsia="仿宋"/>
          <w:snapToGrid w:val="0"/>
          <w:kern w:val="0"/>
          <w:sz w:val="32"/>
          <w:szCs w:val="32"/>
        </w:rPr>
        <w:t>．</w:t>
      </w:r>
      <w:r>
        <w:rPr>
          <w:rFonts w:eastAsia="仿宋"/>
          <w:snapToGrid w:val="0"/>
          <w:kern w:val="0"/>
          <w:sz w:val="32"/>
          <w:szCs w:val="32"/>
        </w:rPr>
        <w:t>住房保障支出（类）住房改革支出（款）住房公积金（项）:支出决算为235.59万元，完成预算100%。</w:t>
      </w:r>
    </w:p>
    <w:p>
      <w:pPr>
        <w:adjustRightInd w:val="0"/>
        <w:snapToGrid w:val="0"/>
        <w:spacing w:line="365" w:lineRule="auto"/>
        <w:rPr>
          <w:rFonts w:ascii="黑体" w:hAnsi="黑体" w:eastAsia="黑体" w:cs="黑体"/>
          <w:snapToGrid w:val="0"/>
          <w:kern w:val="0"/>
          <w:sz w:val="32"/>
          <w:szCs w:val="32"/>
        </w:rPr>
      </w:pPr>
      <w:bookmarkStart w:id="51" w:name="_Toc15396608"/>
      <w:bookmarkStart w:id="52" w:name="_Toc15377214"/>
      <w:bookmarkStart w:id="53" w:name="_Toc31827"/>
      <w:r>
        <w:rPr>
          <w:rFonts w:hint="eastAsia" w:ascii="黑体" w:hAnsi="黑体" w:eastAsia="黑体" w:cs="黑体"/>
          <w:snapToGrid w:val="0"/>
          <w:kern w:val="0"/>
          <w:sz w:val="32"/>
          <w:szCs w:val="32"/>
        </w:rPr>
        <w:t>　　六、一般公共预算财政拨款基本支出决算情况说明</w:t>
      </w:r>
      <w:bookmarkEnd w:id="51"/>
      <w:bookmarkEnd w:id="52"/>
      <w:bookmarkEnd w:id="53"/>
      <w:r>
        <w:rPr>
          <w:rFonts w:hint="eastAsia" w:ascii="黑体" w:hAnsi="黑体" w:eastAsia="黑体" w:cs="黑体"/>
          <w:snapToGrid w:val="0"/>
          <w:kern w:val="0"/>
          <w:sz w:val="32"/>
          <w:szCs w:val="32"/>
        </w:rPr>
        <w:tab/>
      </w:r>
    </w:p>
    <w:p>
      <w:pPr>
        <w:adjustRightInd w:val="0"/>
        <w:snapToGrid w:val="0"/>
        <w:spacing w:line="365"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2022年一般公共预算财政拨款基本支出3506.96万元，其中：</w:t>
      </w:r>
    </w:p>
    <w:p>
      <w:pPr>
        <w:adjustRightInd w:val="0"/>
        <w:snapToGrid w:val="0"/>
        <w:spacing w:line="365"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人员经费3113.06万元，主要包括：基本工资、津贴补贴、奖金、绩效工资、机关事业单位基本养老保险缴费、职业年金缴费、其他社会保障缴费、其他工资福利支出、离休费、退休费、抚恤金、生活补助、医疗费补助、住房公积金、等。</w:t>
      </w:r>
    </w:p>
    <w:p>
      <w:pPr>
        <w:adjustRightInd w:val="0"/>
        <w:snapToGrid w:val="0"/>
        <w:spacing w:line="365" w:lineRule="auto"/>
        <w:rPr>
          <w:rFonts w:eastAsia="仿宋"/>
          <w:snapToGrid w:val="0"/>
          <w:kern w:val="0"/>
          <w:sz w:val="32"/>
          <w:szCs w:val="32"/>
        </w:rPr>
      </w:pPr>
      <w:r>
        <w:rPr>
          <w:rFonts w:eastAsia="仿宋"/>
          <w:snapToGrid w:val="0"/>
          <w:kern w:val="0"/>
          <w:sz w:val="32"/>
          <w:szCs w:val="32"/>
        </w:rPr>
        <w:t>　　公用经费393.91万元，主要包括：办公费、印刷费、咨询费、水费、电费、邮电费、物业管理费、差旅费、维修（护）费、租赁费、会议费、培训费、公务接待费、劳务费、委托业务费、工会经费、福利费、公务用车运行维护费、其他交通费、其他商品和服务支出、办公设备购置等。</w:t>
      </w:r>
    </w:p>
    <w:p>
      <w:pPr>
        <w:adjustRightInd w:val="0"/>
        <w:snapToGrid w:val="0"/>
        <w:spacing w:line="365" w:lineRule="auto"/>
        <w:rPr>
          <w:rFonts w:ascii="黑体" w:hAnsi="黑体" w:eastAsia="黑体" w:cs="黑体"/>
          <w:snapToGrid w:val="0"/>
          <w:kern w:val="0"/>
          <w:sz w:val="32"/>
          <w:szCs w:val="32"/>
        </w:rPr>
      </w:pPr>
      <w:bookmarkStart w:id="54" w:name="_Toc12726"/>
      <w:bookmarkStart w:id="55" w:name="_Toc15377215"/>
      <w:bookmarkStart w:id="56" w:name="_Toc15396609"/>
      <w:r>
        <w:rPr>
          <w:rFonts w:hint="eastAsia" w:ascii="黑体" w:hAnsi="黑体" w:eastAsia="黑体" w:cs="黑体"/>
          <w:snapToGrid w:val="0"/>
          <w:kern w:val="0"/>
          <w:sz w:val="32"/>
          <w:szCs w:val="32"/>
        </w:rPr>
        <w:t>　　七、财政拨款“三公”经费支出决算情况说明</w:t>
      </w:r>
      <w:bookmarkEnd w:id="54"/>
      <w:bookmarkEnd w:id="55"/>
      <w:bookmarkEnd w:id="56"/>
    </w:p>
    <w:p>
      <w:pPr>
        <w:adjustRightInd w:val="0"/>
        <w:snapToGrid w:val="0"/>
        <w:spacing w:line="365" w:lineRule="auto"/>
        <w:rPr>
          <w:rFonts w:ascii="楷体" w:hAnsi="楷体" w:eastAsia="楷体" w:cs="楷体"/>
          <w:snapToGrid w:val="0"/>
          <w:kern w:val="0"/>
          <w:sz w:val="32"/>
          <w:szCs w:val="32"/>
        </w:rPr>
      </w:pPr>
      <w:bookmarkStart w:id="57" w:name="_Toc22495"/>
      <w:bookmarkStart w:id="58" w:name="_Toc15377216"/>
      <w:r>
        <w:rPr>
          <w:rFonts w:hint="eastAsia" w:ascii="楷体" w:hAnsi="楷体" w:eastAsia="楷体" w:cs="楷体"/>
          <w:snapToGrid w:val="0"/>
          <w:kern w:val="0"/>
          <w:sz w:val="32"/>
          <w:szCs w:val="32"/>
        </w:rPr>
        <w:t>　　（一）“三公”经费财政拨款支出决算总体情况说明</w:t>
      </w:r>
      <w:bookmarkEnd w:id="57"/>
      <w:bookmarkEnd w:id="58"/>
      <w:r>
        <w:rPr>
          <w:rFonts w:hint="eastAsia" w:ascii="楷体" w:hAnsi="楷体" w:eastAsia="楷体" w:cs="楷体"/>
          <w:snapToGrid w:val="0"/>
          <w:kern w:val="0"/>
          <w:sz w:val="32"/>
          <w:szCs w:val="32"/>
        </w:rPr>
        <w:t>。</w:t>
      </w:r>
    </w:p>
    <w:p>
      <w:pPr>
        <w:adjustRightInd w:val="0"/>
        <w:snapToGrid w:val="0"/>
        <w:spacing w:line="365"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2022年“三公”经费财政拨款支出决算为49.9万元，完成预算100%，较上年减少0.79万元，下降1.56%。</w:t>
      </w:r>
    </w:p>
    <w:p>
      <w:pPr>
        <w:adjustRightInd w:val="0"/>
        <w:snapToGrid w:val="0"/>
        <w:spacing w:line="365" w:lineRule="auto"/>
        <w:rPr>
          <w:rFonts w:ascii="楷体" w:hAnsi="楷体" w:eastAsia="楷体" w:cs="楷体"/>
          <w:snapToGrid w:val="0"/>
          <w:kern w:val="0"/>
          <w:sz w:val="32"/>
          <w:szCs w:val="32"/>
        </w:rPr>
      </w:pPr>
      <w:bookmarkStart w:id="59" w:name="_Toc15377217"/>
      <w:bookmarkStart w:id="60" w:name="_Toc29849"/>
      <w:r>
        <w:rPr>
          <w:rFonts w:hint="eastAsia" w:ascii="楷体" w:hAnsi="楷体" w:eastAsia="楷体" w:cs="楷体"/>
          <w:snapToGrid w:val="0"/>
          <w:kern w:val="0"/>
          <w:sz w:val="32"/>
          <w:szCs w:val="32"/>
        </w:rPr>
        <w:t>　　（二）“三公”经费财政拨款支出决算具体情况说明</w:t>
      </w:r>
      <w:bookmarkEnd w:id="59"/>
      <w:bookmarkEnd w:id="60"/>
      <w:r>
        <w:rPr>
          <w:rFonts w:hint="eastAsia" w:ascii="楷体" w:hAnsi="楷体" w:eastAsia="楷体" w:cs="楷体"/>
          <w:snapToGrid w:val="0"/>
          <w:kern w:val="0"/>
          <w:sz w:val="32"/>
          <w:szCs w:val="32"/>
        </w:rPr>
        <w:t>。</w:t>
      </w:r>
    </w:p>
    <w:p>
      <w:pPr>
        <w:adjustRightInd w:val="0"/>
        <w:snapToGrid w:val="0"/>
        <w:spacing w:line="365"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2022年“三公”经费财政拨款支出决算中，因公出国（境）费支出决算0万元，占0%；公务用车购置及运行维护费支出决算48.9万元，占98%；公务接待费支出决算1万元，占2%。具体情况如下：</w:t>
      </w:r>
    </w:p>
    <w:p>
      <w:pPr>
        <w:pStyle w:val="2"/>
        <w:spacing w:before="93"/>
        <w:rPr>
          <w:rFonts w:ascii="仿宋" w:hAnsi="仿宋" w:eastAsia="仿宋"/>
          <w:sz w:val="32"/>
          <w:szCs w:val="32"/>
        </w:rPr>
      </w:pPr>
      <w:r>
        <w:drawing>
          <wp:inline distT="0" distB="0" distL="114300" distR="114300">
            <wp:extent cx="5257165" cy="3225800"/>
            <wp:effectExtent l="4445" t="4445" r="15240" b="825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ind w:firstLine="640"/>
        <w:jc w:val="center"/>
        <w:rPr>
          <w:rFonts w:eastAsia="黑体"/>
          <w:sz w:val="32"/>
          <w:szCs w:val="32"/>
        </w:rPr>
      </w:pPr>
      <w:r>
        <w:rPr>
          <w:rFonts w:eastAsia="仿宋"/>
          <w:sz w:val="32"/>
          <w:szCs w:val="32"/>
        </w:rPr>
        <w:t>（图7：“三公”经费财政拨款支出结构）</w:t>
      </w: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w:t>
      </w:r>
      <w:r>
        <w:rPr>
          <w:rFonts w:hint="eastAsia" w:eastAsia="仿宋"/>
          <w:snapToGrid w:val="0"/>
          <w:kern w:val="0"/>
          <w:sz w:val="32"/>
          <w:szCs w:val="32"/>
        </w:rPr>
        <w:t>．</w:t>
      </w:r>
      <w:r>
        <w:rPr>
          <w:rFonts w:eastAsia="仿宋"/>
          <w:snapToGrid w:val="0"/>
          <w:kern w:val="0"/>
          <w:sz w:val="32"/>
          <w:szCs w:val="32"/>
        </w:rPr>
        <w:t>因公出国（境）经费支出0万元，完成预算0%。全年安排因公出国（境）团组0次，出国（境）0人。</w:t>
      </w: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w:t>
      </w:r>
      <w:r>
        <w:rPr>
          <w:rFonts w:hint="eastAsia" w:eastAsia="仿宋"/>
          <w:snapToGrid w:val="0"/>
          <w:kern w:val="0"/>
          <w:sz w:val="32"/>
          <w:szCs w:val="32"/>
        </w:rPr>
        <w:t>．</w:t>
      </w:r>
      <w:r>
        <w:rPr>
          <w:rFonts w:eastAsia="仿宋"/>
          <w:snapToGrid w:val="0"/>
          <w:kern w:val="0"/>
          <w:sz w:val="32"/>
          <w:szCs w:val="32"/>
        </w:rPr>
        <w:t>公务用车购置及运行维护费支出48.9万元,完成预算100%。公务用车购置及运行维护费支出决算比2021年减少1.24万元，下降2.47%。主要原因是我办持续加强公务用车管理。</w:t>
      </w:r>
    </w:p>
    <w:p>
      <w:pPr>
        <w:adjustRightInd w:val="0"/>
        <w:snapToGrid w:val="0"/>
        <w:spacing w:line="353" w:lineRule="auto"/>
        <w:rPr>
          <w:rFonts w:eastAsia="仿宋"/>
          <w:snapToGrid w:val="0"/>
          <w:kern w:val="0"/>
          <w:sz w:val="32"/>
          <w:szCs w:val="32"/>
          <w:highlight w:val="none"/>
        </w:rPr>
      </w:pPr>
      <w:r>
        <w:rPr>
          <w:rFonts w:hint="eastAsia" w:eastAsia="仿宋"/>
          <w:snapToGrid w:val="0"/>
          <w:kern w:val="0"/>
          <w:sz w:val="32"/>
          <w:szCs w:val="32"/>
        </w:rPr>
        <w:t>　　</w:t>
      </w:r>
      <w:r>
        <w:rPr>
          <w:rFonts w:eastAsia="仿宋"/>
          <w:snapToGrid w:val="0"/>
          <w:kern w:val="0"/>
          <w:sz w:val="32"/>
          <w:szCs w:val="32"/>
        </w:rPr>
        <w:t>其中：公务用车购置支出0万元。全年按规定更新购置公务用车0辆，其中：轿车0辆、金额0万元，越野车0辆、金额0万元，载客汽车0辆、金额0万元。</w:t>
      </w:r>
      <w:r>
        <w:rPr>
          <w:rFonts w:eastAsia="仿宋"/>
          <w:snapToGrid w:val="0"/>
          <w:kern w:val="0"/>
          <w:sz w:val="32"/>
          <w:szCs w:val="32"/>
          <w:highlight w:val="none"/>
        </w:rPr>
        <w:t>截至2022年12月底，单位共有公务用车15辆，其中：轿车</w:t>
      </w:r>
      <w:r>
        <w:rPr>
          <w:rFonts w:hint="eastAsia" w:eastAsia="仿宋"/>
          <w:snapToGrid w:val="0"/>
          <w:kern w:val="0"/>
          <w:sz w:val="32"/>
          <w:szCs w:val="32"/>
          <w:highlight w:val="none"/>
          <w:lang w:val="en-US" w:eastAsia="zh-CN"/>
        </w:rPr>
        <w:t>4</w:t>
      </w:r>
      <w:r>
        <w:rPr>
          <w:rFonts w:eastAsia="仿宋"/>
          <w:snapToGrid w:val="0"/>
          <w:kern w:val="0"/>
          <w:sz w:val="32"/>
          <w:szCs w:val="32"/>
          <w:highlight w:val="none"/>
        </w:rPr>
        <w:t>辆、越野车11辆、载客汽车</w:t>
      </w:r>
      <w:r>
        <w:rPr>
          <w:rFonts w:hint="eastAsia" w:eastAsia="仿宋"/>
          <w:snapToGrid w:val="0"/>
          <w:kern w:val="0"/>
          <w:sz w:val="32"/>
          <w:szCs w:val="32"/>
          <w:highlight w:val="none"/>
          <w:lang w:val="en-US" w:eastAsia="zh-CN"/>
        </w:rPr>
        <w:t>0</w:t>
      </w:r>
      <w:r>
        <w:rPr>
          <w:rFonts w:eastAsia="仿宋"/>
          <w:snapToGrid w:val="0"/>
          <w:kern w:val="0"/>
          <w:sz w:val="32"/>
          <w:szCs w:val="32"/>
          <w:highlight w:val="none"/>
        </w:rPr>
        <w:t>辆。</w:t>
      </w:r>
    </w:p>
    <w:p>
      <w:pPr>
        <w:adjustRightInd w:val="0"/>
        <w:snapToGrid w:val="0"/>
        <w:spacing w:line="353" w:lineRule="auto"/>
        <w:rPr>
          <w:rFonts w:eastAsia="仿宋"/>
          <w:snapToGrid w:val="0"/>
          <w:kern w:val="0"/>
          <w:sz w:val="32"/>
          <w:szCs w:val="32"/>
          <w:lang w:val="en"/>
        </w:rPr>
      </w:pPr>
      <w:r>
        <w:rPr>
          <w:rFonts w:hint="eastAsia" w:eastAsia="仿宋"/>
          <w:snapToGrid w:val="0"/>
          <w:kern w:val="0"/>
          <w:sz w:val="32"/>
          <w:szCs w:val="32"/>
        </w:rPr>
        <w:t>　　</w:t>
      </w:r>
      <w:r>
        <w:rPr>
          <w:rFonts w:eastAsia="仿宋"/>
          <w:snapToGrid w:val="0"/>
          <w:kern w:val="0"/>
          <w:sz w:val="32"/>
          <w:szCs w:val="32"/>
        </w:rPr>
        <w:t>公务用车运行维护费支出48.9万元。主要用于保障</w:t>
      </w:r>
      <w:r>
        <w:rPr>
          <w:rFonts w:eastAsia="仿宋"/>
          <w:snapToGrid w:val="0"/>
          <w:kern w:val="0"/>
          <w:sz w:val="32"/>
          <w:szCs w:val="32"/>
          <w:lang w:val="en"/>
        </w:rPr>
        <w:t>机关日常工作运转和专项业务工作等所需的公务用车燃料费、维修费、过路过桥费、保险费等支出。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3</w:t>
      </w:r>
      <w:r>
        <w:rPr>
          <w:rFonts w:hint="eastAsia" w:eastAsia="仿宋"/>
          <w:snapToGrid w:val="0"/>
          <w:kern w:val="0"/>
          <w:sz w:val="32"/>
          <w:szCs w:val="32"/>
        </w:rPr>
        <w:t>．</w:t>
      </w:r>
      <w:r>
        <w:rPr>
          <w:rFonts w:eastAsia="仿宋"/>
          <w:snapToGrid w:val="0"/>
          <w:kern w:val="0"/>
          <w:sz w:val="32"/>
          <w:szCs w:val="32"/>
        </w:rPr>
        <w:t>公务接待费支出1万元，完成预算100%。公务接待费支出决算比2021年增加0.45万元，增长81.82%。主要原因是2022年比2021年接待批次和人数增加。其中：</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国内公务接待支出1万元，主要用于</w:t>
      </w:r>
      <w:r>
        <w:rPr>
          <w:rFonts w:eastAsia="仿宋"/>
          <w:snapToGrid w:val="0"/>
          <w:kern w:val="0"/>
          <w:sz w:val="32"/>
          <w:szCs w:val="32"/>
          <w:lang w:val="en"/>
        </w:rPr>
        <w:t>执行公务、开展业务活动开支</w:t>
      </w:r>
      <w:r>
        <w:rPr>
          <w:rFonts w:eastAsia="仿宋"/>
          <w:snapToGrid w:val="0"/>
          <w:kern w:val="0"/>
          <w:sz w:val="32"/>
          <w:szCs w:val="32"/>
        </w:rPr>
        <w:t>的交通费、住宿费、用餐费等。国内公务接待5批次，15人次（不包括陪同人员），共计支出1万元，具体内容包括：接待省抓项目促投资督察组来攀督查重点领域投资和项目推进情况，金额为1360元；接待瑞士驻成都总领事一行，金额为5169元；接待省人大赴攀督导党的二十大精神学习宣传贯彻工作，金额为2220元；接待电子政务外网现场检查，金额为1260元。</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外事接待支出0万元，外事接待0批次，0人次（不包括陪同人员），共计支出0万元。</w:t>
      </w:r>
      <w:bookmarkStart w:id="61" w:name="_Toc15377218"/>
      <w:bookmarkStart w:id="62" w:name="_Toc15396610"/>
    </w:p>
    <w:p>
      <w:pPr>
        <w:adjustRightInd w:val="0"/>
        <w:snapToGrid w:val="0"/>
        <w:spacing w:line="348" w:lineRule="auto"/>
        <w:rPr>
          <w:rFonts w:ascii="黑体" w:hAnsi="黑体" w:eastAsia="黑体" w:cs="黑体"/>
          <w:snapToGrid w:val="0"/>
          <w:kern w:val="0"/>
          <w:sz w:val="32"/>
          <w:szCs w:val="32"/>
        </w:rPr>
      </w:pPr>
      <w:bookmarkStart w:id="63" w:name="_Toc2612"/>
      <w:r>
        <w:rPr>
          <w:rFonts w:hint="eastAsia" w:ascii="黑体" w:hAnsi="黑体" w:eastAsia="黑体" w:cs="黑体"/>
          <w:snapToGrid w:val="0"/>
          <w:kern w:val="0"/>
          <w:sz w:val="32"/>
          <w:szCs w:val="32"/>
        </w:rPr>
        <w:t>　　八、政府性基金预算支出决算情况说明</w:t>
      </w:r>
      <w:bookmarkEnd w:id="61"/>
      <w:bookmarkEnd w:id="62"/>
      <w:bookmarkEnd w:id="63"/>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2022年政府性基金预算财政拨款支出0万元。</w:t>
      </w:r>
    </w:p>
    <w:p>
      <w:pPr>
        <w:adjustRightInd w:val="0"/>
        <w:snapToGrid w:val="0"/>
        <w:spacing w:line="348" w:lineRule="auto"/>
        <w:rPr>
          <w:rFonts w:ascii="黑体" w:hAnsi="黑体" w:eastAsia="黑体" w:cs="黑体"/>
          <w:snapToGrid w:val="0"/>
          <w:kern w:val="0"/>
          <w:sz w:val="32"/>
          <w:szCs w:val="32"/>
        </w:rPr>
      </w:pPr>
      <w:bookmarkStart w:id="64" w:name="_Toc15396611"/>
      <w:bookmarkStart w:id="65" w:name="_Toc15377219"/>
      <w:bookmarkStart w:id="66" w:name="_Toc31161"/>
      <w:r>
        <w:rPr>
          <w:rFonts w:hint="eastAsia" w:eastAsia="仿宋"/>
          <w:snapToGrid w:val="0"/>
          <w:kern w:val="0"/>
          <w:sz w:val="32"/>
          <w:szCs w:val="32"/>
        </w:rPr>
        <w:t>　　</w:t>
      </w:r>
      <w:r>
        <w:rPr>
          <w:rFonts w:hint="eastAsia" w:ascii="黑体" w:hAnsi="黑体" w:eastAsia="黑体" w:cs="黑体"/>
          <w:snapToGrid w:val="0"/>
          <w:kern w:val="0"/>
          <w:sz w:val="32"/>
          <w:szCs w:val="32"/>
        </w:rPr>
        <w:t>九、国有资本经营预算支出决算情况说明</w:t>
      </w:r>
      <w:bookmarkEnd w:id="64"/>
      <w:bookmarkEnd w:id="65"/>
      <w:bookmarkEnd w:id="66"/>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2022年国有资本经营预算财政拨款支出0万元。</w:t>
      </w:r>
    </w:p>
    <w:p>
      <w:pPr>
        <w:adjustRightInd w:val="0"/>
        <w:snapToGrid w:val="0"/>
        <w:spacing w:line="348" w:lineRule="auto"/>
        <w:rPr>
          <w:rFonts w:ascii="黑体" w:hAnsi="黑体" w:eastAsia="黑体" w:cs="黑体"/>
          <w:snapToGrid w:val="0"/>
          <w:kern w:val="0"/>
          <w:sz w:val="32"/>
          <w:szCs w:val="32"/>
        </w:rPr>
      </w:pPr>
      <w:bookmarkStart w:id="67" w:name="_Toc15377221"/>
      <w:bookmarkStart w:id="68" w:name="_Toc15396612"/>
      <w:bookmarkStart w:id="69" w:name="_Toc32542"/>
      <w:r>
        <w:rPr>
          <w:rFonts w:hint="eastAsia" w:eastAsia="仿宋"/>
          <w:snapToGrid w:val="0"/>
          <w:kern w:val="0"/>
          <w:sz w:val="32"/>
          <w:szCs w:val="32"/>
        </w:rPr>
        <w:t>　　</w:t>
      </w:r>
      <w:r>
        <w:rPr>
          <w:rFonts w:hint="eastAsia" w:ascii="黑体" w:hAnsi="黑体" w:eastAsia="黑体" w:cs="黑体"/>
          <w:snapToGrid w:val="0"/>
          <w:kern w:val="0"/>
          <w:sz w:val="32"/>
          <w:szCs w:val="32"/>
        </w:rPr>
        <w:t>十、其他重要事项的情况说明</w:t>
      </w:r>
      <w:bookmarkEnd w:id="67"/>
      <w:bookmarkEnd w:id="68"/>
      <w:bookmarkEnd w:id="69"/>
    </w:p>
    <w:p>
      <w:pPr>
        <w:adjustRightInd w:val="0"/>
        <w:snapToGrid w:val="0"/>
        <w:spacing w:line="348" w:lineRule="auto"/>
        <w:rPr>
          <w:rFonts w:ascii="楷体" w:hAnsi="楷体" w:eastAsia="楷体" w:cs="楷体"/>
          <w:snapToGrid w:val="0"/>
          <w:kern w:val="0"/>
          <w:sz w:val="32"/>
          <w:szCs w:val="32"/>
        </w:rPr>
      </w:pPr>
      <w:bookmarkStart w:id="70" w:name="_Toc15377222"/>
      <w:bookmarkStart w:id="71" w:name="_Toc1094"/>
      <w:r>
        <w:rPr>
          <w:rFonts w:hint="eastAsia" w:ascii="楷体" w:hAnsi="楷体" w:eastAsia="楷体" w:cs="楷体"/>
          <w:snapToGrid w:val="0"/>
          <w:kern w:val="0"/>
          <w:sz w:val="32"/>
          <w:szCs w:val="32"/>
        </w:rPr>
        <w:t>　　（一）机关运行经费支出情况</w:t>
      </w:r>
      <w:bookmarkEnd w:id="70"/>
      <w:bookmarkEnd w:id="71"/>
      <w:r>
        <w:rPr>
          <w:rFonts w:hint="eastAsia" w:ascii="楷体" w:hAnsi="楷体" w:eastAsia="楷体" w:cs="楷体"/>
          <w:snapToGrid w:val="0"/>
          <w:kern w:val="0"/>
          <w:sz w:val="32"/>
          <w:szCs w:val="32"/>
        </w:rPr>
        <w:t>。</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2022年，市政府办公室机关运行经费支出393.91万元，比2021年减少97.3万元，下降19.81%。主要原因是财政压减经费支出。</w:t>
      </w:r>
    </w:p>
    <w:p>
      <w:pPr>
        <w:adjustRightInd w:val="0"/>
        <w:snapToGrid w:val="0"/>
        <w:spacing w:line="348" w:lineRule="auto"/>
        <w:rPr>
          <w:rFonts w:ascii="楷体" w:hAnsi="楷体" w:eastAsia="楷体" w:cs="楷体"/>
          <w:snapToGrid w:val="0"/>
          <w:kern w:val="0"/>
          <w:sz w:val="32"/>
          <w:szCs w:val="32"/>
        </w:rPr>
      </w:pPr>
      <w:bookmarkStart w:id="72" w:name="_Toc16692"/>
      <w:bookmarkStart w:id="73" w:name="_Toc15377223"/>
      <w:r>
        <w:rPr>
          <w:rFonts w:hint="eastAsia" w:ascii="楷体" w:hAnsi="楷体" w:eastAsia="楷体" w:cs="楷体"/>
          <w:snapToGrid w:val="0"/>
          <w:kern w:val="0"/>
          <w:sz w:val="32"/>
          <w:szCs w:val="32"/>
        </w:rPr>
        <w:t>　　（二）政府采购支出情况</w:t>
      </w:r>
      <w:bookmarkEnd w:id="72"/>
      <w:bookmarkEnd w:id="73"/>
      <w:r>
        <w:rPr>
          <w:rFonts w:hint="eastAsia" w:ascii="楷体" w:hAnsi="楷体" w:eastAsia="楷体" w:cs="楷体"/>
          <w:snapToGrid w:val="0"/>
          <w:kern w:val="0"/>
          <w:sz w:val="32"/>
          <w:szCs w:val="32"/>
        </w:rPr>
        <w:t>。</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2022年，市政府办公室政府采购支出总额31.74万元，其中：政府采购货物支出31.74万元、政府采购工程支出0万元、政府采购服务支出0万元。主要用于</w:t>
      </w:r>
      <w:r>
        <w:rPr>
          <w:rFonts w:hint="eastAsia" w:eastAsia="仿宋"/>
          <w:snapToGrid w:val="0"/>
          <w:kern w:val="0"/>
          <w:sz w:val="32"/>
          <w:szCs w:val="32"/>
          <w:lang w:eastAsia="zh-CN"/>
        </w:rPr>
        <w:t>市大数据中心办公设施设备购置</w:t>
      </w:r>
      <w:r>
        <w:rPr>
          <w:rFonts w:eastAsia="仿宋"/>
          <w:snapToGrid w:val="0"/>
          <w:kern w:val="0"/>
          <w:sz w:val="32"/>
          <w:szCs w:val="32"/>
        </w:rPr>
        <w:t>等。授予中小企业合同金额31.74万元，占政府采购支出总额的100%，其中：授予小微企业合同金额31.74万元，占政府采购支出总额的100%。</w:t>
      </w:r>
    </w:p>
    <w:p>
      <w:pPr>
        <w:adjustRightInd w:val="0"/>
        <w:snapToGrid w:val="0"/>
        <w:spacing w:line="348" w:lineRule="auto"/>
        <w:rPr>
          <w:rFonts w:ascii="楷体" w:hAnsi="楷体" w:eastAsia="楷体" w:cs="楷体"/>
          <w:snapToGrid w:val="0"/>
          <w:kern w:val="0"/>
          <w:sz w:val="32"/>
          <w:szCs w:val="32"/>
        </w:rPr>
      </w:pPr>
      <w:bookmarkStart w:id="74" w:name="_Toc15377224"/>
      <w:bookmarkStart w:id="75" w:name="_Toc16357"/>
      <w:r>
        <w:rPr>
          <w:rFonts w:hint="eastAsia" w:ascii="楷体" w:hAnsi="楷体" w:eastAsia="楷体" w:cs="楷体"/>
          <w:snapToGrid w:val="0"/>
          <w:kern w:val="0"/>
          <w:sz w:val="32"/>
          <w:szCs w:val="32"/>
        </w:rPr>
        <w:t>　　（三）国有资产占有使用情况</w:t>
      </w:r>
      <w:bookmarkEnd w:id="74"/>
      <w:bookmarkEnd w:id="75"/>
      <w:r>
        <w:rPr>
          <w:rFonts w:hint="eastAsia" w:ascii="楷体" w:hAnsi="楷体" w:eastAsia="楷体" w:cs="楷体"/>
          <w:snapToGrid w:val="0"/>
          <w:kern w:val="0"/>
          <w:sz w:val="32"/>
          <w:szCs w:val="32"/>
        </w:rPr>
        <w:t>。</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截至2022年12月31日，市政府办公室共有车辆15辆，其中：主要领导干部用车1辆、机要通信用车1辆、应急保障用车12辆、其他用车1辆，其他用车主要是用于下乡调研、督查督办等业务工作。单价100万元以上专用设备0台（套）。</w:t>
      </w:r>
    </w:p>
    <w:p>
      <w:pPr>
        <w:adjustRightInd w:val="0"/>
        <w:snapToGrid w:val="0"/>
        <w:spacing w:line="348" w:lineRule="auto"/>
        <w:rPr>
          <w:rFonts w:ascii="楷体" w:hAnsi="楷体" w:eastAsia="楷体" w:cs="楷体"/>
          <w:snapToGrid w:val="0"/>
          <w:kern w:val="0"/>
          <w:sz w:val="32"/>
          <w:szCs w:val="32"/>
        </w:rPr>
      </w:pPr>
      <w:bookmarkStart w:id="76" w:name="_Toc4946"/>
      <w:r>
        <w:rPr>
          <w:rFonts w:hint="eastAsia" w:ascii="楷体" w:hAnsi="楷体" w:eastAsia="楷体" w:cs="楷体"/>
          <w:snapToGrid w:val="0"/>
          <w:kern w:val="0"/>
          <w:sz w:val="32"/>
          <w:szCs w:val="32"/>
        </w:rPr>
        <w:t>　　（四）预算绩效管理情况</w:t>
      </w:r>
      <w:bookmarkEnd w:id="76"/>
      <w:r>
        <w:rPr>
          <w:rFonts w:hint="eastAsia" w:ascii="楷体" w:hAnsi="楷体" w:eastAsia="楷体" w:cs="楷体"/>
          <w:snapToGrid w:val="0"/>
          <w:kern w:val="0"/>
          <w:sz w:val="32"/>
          <w:szCs w:val="32"/>
        </w:rPr>
        <w:t>。</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根据预算绩效管理要求，本单位在2022年度预算编制阶段，组织对市级电子政务外网网络租赁费等50个项目开展了预算事前绩效评估，对50个项目编制了绩效目标，预算执行过程中，选取14个项目开展绩效监控，组织对50个项目开展绩效自评，绩效自评表详见第四部分附件。</w:t>
      </w: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bookmarkStart w:id="77" w:name="_Toc15377225"/>
      <w:bookmarkStart w:id="78" w:name="_Toc6847"/>
      <w:bookmarkStart w:id="79" w:name="_Toc15396613"/>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p>
    <w:p>
      <w:pPr>
        <w:adjustRightInd w:val="0"/>
        <w:snapToGrid w:val="0"/>
        <w:spacing w:line="300" w:lineRule="auto"/>
        <w:rPr>
          <w:rFonts w:ascii="方正小标宋_GBK" w:hAnsi="方正小标宋_GBK" w:eastAsia="方正小标宋_GBK" w:cs="方正小标宋_GBK"/>
          <w:snapToGrid w:val="0"/>
          <w:kern w:val="0"/>
          <w:sz w:val="44"/>
          <w:szCs w:val="44"/>
        </w:rPr>
      </w:pPr>
    </w:p>
    <w:p>
      <w:pPr>
        <w:adjustRightInd w:val="0"/>
        <w:snapToGrid w:val="0"/>
        <w:spacing w:line="300" w:lineRule="auto"/>
        <w:jc w:val="center"/>
        <w:rPr>
          <w:rFonts w:ascii="方正小标宋_GBK" w:hAnsi="方正小标宋_GBK" w:eastAsia="方正小标宋_GBK" w:cs="方正小标宋_GBK"/>
          <w:snapToGrid w:val="0"/>
          <w:kern w:val="0"/>
          <w:sz w:val="32"/>
          <w:szCs w:val="32"/>
        </w:rPr>
      </w:pPr>
    </w:p>
    <w:p>
      <w:pPr>
        <w:pStyle w:val="2"/>
        <w:rPr>
          <w:rFonts w:ascii="方正小标宋_GBK" w:hAnsi="方正小标宋_GBK" w:eastAsia="方正小标宋_GBK" w:cs="方正小标宋_GBK"/>
          <w:snapToGrid w:val="0"/>
          <w:kern w:val="0"/>
          <w:sz w:val="32"/>
          <w:szCs w:val="32"/>
        </w:rPr>
      </w:pPr>
    </w:p>
    <w:p>
      <w:pPr>
        <w:pStyle w:val="2"/>
        <w:rPr>
          <w:rFonts w:ascii="方正小标宋_GBK" w:hAnsi="方正小标宋_GBK" w:eastAsia="方正小标宋_GBK" w:cs="方正小标宋_GBK"/>
          <w:snapToGrid w:val="0"/>
          <w:kern w:val="0"/>
          <w:sz w:val="32"/>
          <w:szCs w:val="32"/>
        </w:rPr>
      </w:pPr>
    </w:p>
    <w:p>
      <w:pPr>
        <w:adjustRightInd w:val="0"/>
        <w:snapToGrid w:val="0"/>
        <w:spacing w:line="300" w:lineRule="auto"/>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第三部分　名词解释</w:t>
      </w:r>
      <w:bookmarkEnd w:id="77"/>
      <w:bookmarkEnd w:id="78"/>
      <w:bookmarkEnd w:id="79"/>
    </w:p>
    <w:p>
      <w:pPr>
        <w:adjustRightInd w:val="0"/>
        <w:snapToGrid w:val="0"/>
        <w:spacing w:line="300"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w:t>
      </w:r>
      <w:r>
        <w:rPr>
          <w:rFonts w:hint="eastAsia" w:eastAsia="仿宋"/>
          <w:snapToGrid w:val="0"/>
          <w:kern w:val="0"/>
          <w:sz w:val="32"/>
          <w:szCs w:val="32"/>
        </w:rPr>
        <w:t>．</w:t>
      </w:r>
      <w:r>
        <w:rPr>
          <w:rFonts w:eastAsia="仿宋"/>
          <w:snapToGrid w:val="0"/>
          <w:kern w:val="0"/>
          <w:sz w:val="32"/>
          <w:szCs w:val="32"/>
        </w:rPr>
        <w:t>财政拨款收入：指单位从同级财政部门取得的财政预算资金。</w:t>
      </w:r>
    </w:p>
    <w:p>
      <w:pPr>
        <w:adjustRightInd w:val="0"/>
        <w:snapToGrid w:val="0"/>
        <w:spacing w:line="353" w:lineRule="auto"/>
        <w:rPr>
          <w:rFonts w:eastAsia="仿宋"/>
          <w:snapToGrid w:val="0"/>
          <w:kern w:val="0"/>
          <w:sz w:val="32"/>
          <w:szCs w:val="32"/>
        </w:rPr>
      </w:pPr>
      <w:r>
        <w:rPr>
          <w:rFonts w:eastAsia="仿宋"/>
          <w:snapToGrid w:val="0"/>
          <w:kern w:val="0"/>
          <w:sz w:val="32"/>
          <w:szCs w:val="32"/>
        </w:rPr>
        <w:t>　　2．事业收入：指事业单位开展专业业务活动及辅助活动取得的收入。</w:t>
      </w:r>
    </w:p>
    <w:p>
      <w:pPr>
        <w:adjustRightInd w:val="0"/>
        <w:snapToGrid w:val="0"/>
        <w:spacing w:line="353" w:lineRule="auto"/>
        <w:rPr>
          <w:rFonts w:eastAsia="仿宋"/>
          <w:snapToGrid w:val="0"/>
          <w:kern w:val="0"/>
          <w:sz w:val="32"/>
          <w:szCs w:val="32"/>
        </w:rPr>
      </w:pPr>
      <w:r>
        <w:rPr>
          <w:rFonts w:eastAsia="仿宋"/>
          <w:snapToGrid w:val="0"/>
          <w:kern w:val="0"/>
          <w:sz w:val="32"/>
          <w:szCs w:val="32"/>
        </w:rPr>
        <w:t>　　3．经营收入：指事业单位在专业业务活动及其辅助活动之外开展非独立核算经营活动取得的收入。</w:t>
      </w:r>
    </w:p>
    <w:p>
      <w:pPr>
        <w:adjustRightInd w:val="0"/>
        <w:snapToGrid w:val="0"/>
        <w:spacing w:line="353" w:lineRule="auto"/>
        <w:rPr>
          <w:rFonts w:eastAsia="仿宋"/>
          <w:snapToGrid w:val="0"/>
          <w:kern w:val="0"/>
          <w:sz w:val="32"/>
          <w:szCs w:val="32"/>
        </w:rPr>
      </w:pPr>
      <w:r>
        <w:rPr>
          <w:rFonts w:eastAsia="仿宋"/>
          <w:snapToGrid w:val="0"/>
          <w:kern w:val="0"/>
          <w:sz w:val="32"/>
          <w:szCs w:val="32"/>
        </w:rPr>
        <w:t>　　4．其他收入：指单位取得的除上述收入以外的各项收入。</w:t>
      </w:r>
    </w:p>
    <w:p>
      <w:pPr>
        <w:adjustRightInd w:val="0"/>
        <w:snapToGrid w:val="0"/>
        <w:spacing w:line="353" w:lineRule="auto"/>
        <w:rPr>
          <w:rFonts w:eastAsia="仿宋"/>
          <w:snapToGrid w:val="0"/>
          <w:kern w:val="0"/>
          <w:sz w:val="32"/>
          <w:szCs w:val="32"/>
        </w:rPr>
      </w:pPr>
      <w:r>
        <w:rPr>
          <w:rFonts w:eastAsia="仿宋"/>
          <w:snapToGrid w:val="0"/>
          <w:kern w:val="0"/>
          <w:sz w:val="32"/>
          <w:szCs w:val="32"/>
        </w:rPr>
        <w:t>　　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djustRightInd w:val="0"/>
        <w:snapToGrid w:val="0"/>
        <w:spacing w:line="353" w:lineRule="auto"/>
        <w:rPr>
          <w:rFonts w:eastAsia="仿宋"/>
          <w:snapToGrid w:val="0"/>
          <w:kern w:val="0"/>
          <w:sz w:val="32"/>
          <w:szCs w:val="32"/>
        </w:rPr>
      </w:pPr>
      <w:r>
        <w:rPr>
          <w:rFonts w:eastAsia="仿宋"/>
          <w:snapToGrid w:val="0"/>
          <w:kern w:val="0"/>
          <w:sz w:val="32"/>
          <w:szCs w:val="32"/>
        </w:rPr>
        <w:t>　　6．年初结转和结余：指以前年度尚未完成、结转到本年按有关规定继续使用的资金。</w:t>
      </w:r>
    </w:p>
    <w:p>
      <w:pPr>
        <w:adjustRightInd w:val="0"/>
        <w:snapToGrid w:val="0"/>
        <w:spacing w:line="353" w:lineRule="auto"/>
        <w:rPr>
          <w:rFonts w:eastAsia="仿宋"/>
          <w:snapToGrid w:val="0"/>
          <w:kern w:val="0"/>
          <w:sz w:val="32"/>
          <w:szCs w:val="32"/>
        </w:rPr>
      </w:pPr>
      <w:r>
        <w:rPr>
          <w:rFonts w:eastAsia="仿宋"/>
          <w:snapToGrid w:val="0"/>
          <w:kern w:val="0"/>
          <w:sz w:val="32"/>
          <w:szCs w:val="32"/>
        </w:rPr>
        <w:t>　　7．结余分配：指事业单位按照事业单位会计制度的规定从非财政补助结余中分配的事业基金和职工福利基金等。</w:t>
      </w:r>
    </w:p>
    <w:p>
      <w:pPr>
        <w:adjustRightInd w:val="0"/>
        <w:snapToGrid w:val="0"/>
        <w:spacing w:line="353" w:lineRule="auto"/>
        <w:rPr>
          <w:rFonts w:eastAsia="仿宋"/>
          <w:snapToGrid w:val="0"/>
          <w:kern w:val="0"/>
          <w:sz w:val="32"/>
          <w:szCs w:val="32"/>
        </w:rPr>
      </w:pPr>
      <w:r>
        <w:rPr>
          <w:rFonts w:eastAsia="仿宋"/>
          <w:snapToGrid w:val="0"/>
          <w:kern w:val="0"/>
          <w:sz w:val="32"/>
          <w:szCs w:val="32"/>
        </w:rPr>
        <w:t>　　8．年末结转和结余：指单位按有关规定结转到下年或以后年度继续使用的资金。</w:t>
      </w: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9．一般公共服务支出（类）政府办公厅（室）及相关机构事务（款）行政运行（项）：指反映行政单位（包括实行公务员管理的事业单位）的基本支出。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10．一般公共服务支出（类）政府办公厅（室）及相关机构事务（款）一般行政管理事务（项）：指反映行政单位（包括实行公务员管理的事业单位）未单独设置项级科目的其他项目支出。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11．一般公共服务支出（类）政府办公厅（室）及相关机构事务（款）事业运行（项）：指反映事业单位的基本支出，不包括行政单位（包括实行公务员管理的事业单位）后勤服务中心、医务室等附属事业单位。</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12．科学技术支出（类）其他科学技术支出（款）其他科学技术支出（项）：反映其他用于科技方面的支出。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13．社会保障和就业支出（类）人力资源和社会保障管理事务（款）其他人力资源和社会保障管理事务支出（项）：反映其他用于人力资源和社会保障管理事务方面的支出。。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14．社会保障和就业支出（类）行政事业单位养老支出（款）行政单位离退休（项）：反映行政单位（包括实行公务员管理的事业单位）开支的离退休经费。</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15．社会保障和就业支出（类）行政事业单位养老支出（款）事业单位离退休（项）：反应事业单位开支的离退休经费。</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16．社会保障和就业支出（类）行政事业单位养老支出（款）机关事业单位基本养老保险缴费支出（项）：反映机关事业单位实施养老保险制度由单位缴纳的基本养老保险费支出。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17．社会保障和就业支出（类）抚恤（款）死亡抚恤（项）：指反映按规定用于烈士和牺牲、病故人员家属的一次性和定期抚恤金以及丧葬补助费。</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18．社会保障和就业支出（类）社会福利（款）儿童福利（项）：指反映对儿童提供福利服务方面的支出。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19．住房保障支出（类）住房改革支出（款）住房公积金（项）：反映行政事业单位按人力资源和社会保障部、财政部规定的基本工资和津贴补贴以及规定比例为职工缴纳的住房公积金。</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20．基本支出：指为保障机构正常运转、完成日常工作任务而发生的人员支出和公用支出。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21．项目支出：指在基本支出之外为完成特定行政任务和事业发展目标所发生的支出。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22．经营支出：指事业单位在专业业务活动及其辅助活动之外开展非独立核算经营活动发生的支出。</w:t>
      </w:r>
    </w:p>
    <w:p>
      <w:pPr>
        <w:adjustRightInd w:val="0"/>
        <w:snapToGrid w:val="0"/>
        <w:spacing w:line="348"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23．</w:t>
      </w:r>
      <w:r>
        <w:rPr>
          <w:rFonts w:hint="eastAsia" w:ascii="仿宋" w:hAnsi="仿宋" w:eastAsia="仿宋" w:cs="仿宋"/>
          <w:snapToGrid w:val="0"/>
          <w:kern w:val="0"/>
          <w:sz w:val="32"/>
          <w:szCs w:val="32"/>
        </w:rPr>
        <w:t>“</w:t>
      </w:r>
      <w:r>
        <w:rPr>
          <w:rFonts w:eastAsia="仿宋"/>
          <w:snapToGrid w:val="0"/>
          <w:kern w:val="0"/>
          <w:sz w:val="32"/>
          <w:szCs w:val="32"/>
        </w:rPr>
        <w:t>三公</w:t>
      </w:r>
      <w:r>
        <w:rPr>
          <w:rFonts w:hint="eastAsia" w:ascii="仿宋" w:hAnsi="仿宋" w:eastAsia="仿宋" w:cs="仿宋"/>
          <w:snapToGrid w:val="0"/>
          <w:kern w:val="0"/>
          <w:sz w:val="32"/>
          <w:szCs w:val="32"/>
        </w:rPr>
        <w:t>”</w:t>
      </w:r>
      <w:r>
        <w:rPr>
          <w:rFonts w:eastAsia="仿宋"/>
          <w:snapToGrid w:val="0"/>
          <w:kern w:val="0"/>
          <w:sz w:val="32"/>
          <w:szCs w:val="32"/>
        </w:rPr>
        <w:t>经费：指单位用财政拨款安排的因公出国（境）费、公务用车购置及运行费和公务接待费。其中，因公出国（境）</w:t>
      </w:r>
      <w:bookmarkStart w:id="80" w:name="hmjd_error_2_0_费_黑马提示无建议_11309"/>
      <w:r>
        <w:rPr>
          <w:rFonts w:eastAsia="仿宋"/>
          <w:snapToGrid w:val="0"/>
          <w:kern w:val="0"/>
          <w:sz w:val="32"/>
          <w:szCs w:val="32"/>
        </w:rPr>
        <w:t>费</w:t>
      </w:r>
      <w:bookmarkEnd w:id="80"/>
      <w:r>
        <w:rPr>
          <w:rFonts w:eastAsia="仿宋"/>
          <w:snapToGrid w:val="0"/>
          <w:kern w:val="0"/>
          <w:sz w:val="32"/>
          <w:szCs w:val="32"/>
        </w:rPr>
        <w:t>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353" w:lineRule="auto"/>
        <w:rPr>
          <w:rFonts w:eastAsia="仿宋"/>
          <w:snapToGrid w:val="0"/>
          <w:kern w:val="0"/>
          <w:sz w:val="32"/>
          <w:szCs w:val="32"/>
        </w:rPr>
      </w:pPr>
    </w:p>
    <w:p>
      <w:pPr>
        <w:adjustRightInd w:val="0"/>
        <w:snapToGrid w:val="0"/>
        <w:spacing w:line="353" w:lineRule="auto"/>
        <w:jc w:val="center"/>
        <w:rPr>
          <w:rFonts w:eastAsia="仿宋"/>
          <w:snapToGrid w:val="0"/>
          <w:kern w:val="0"/>
          <w:sz w:val="32"/>
          <w:szCs w:val="32"/>
        </w:rPr>
      </w:pPr>
      <w:bookmarkStart w:id="81" w:name="_Toc15377226"/>
      <w:r>
        <w:rPr>
          <w:rFonts w:eastAsia="仿宋"/>
          <w:snapToGrid w:val="0"/>
          <w:kern w:val="0"/>
          <w:sz w:val="32"/>
          <w:szCs w:val="32"/>
        </w:rPr>
        <w:br w:type="page"/>
      </w:r>
      <w:bookmarkStart w:id="82" w:name="_Toc15396614"/>
      <w:bookmarkStart w:id="83" w:name="_Toc28361"/>
    </w:p>
    <w:p>
      <w:pPr>
        <w:adjustRightInd w:val="0"/>
        <w:snapToGrid w:val="0"/>
        <w:spacing w:line="353" w:lineRule="auto"/>
        <w:jc w:val="center"/>
        <w:rPr>
          <w:rFonts w:eastAsia="仿宋"/>
          <w:snapToGrid w:val="0"/>
          <w:kern w:val="0"/>
          <w:sz w:val="32"/>
          <w:szCs w:val="32"/>
        </w:rPr>
      </w:pPr>
    </w:p>
    <w:p>
      <w:pPr>
        <w:adjustRightInd w:val="0"/>
        <w:snapToGrid w:val="0"/>
        <w:spacing w:line="353" w:lineRule="auto"/>
        <w:jc w:val="center"/>
        <w:rPr>
          <w:rFonts w:eastAsia="仿宋"/>
          <w:snapToGrid w:val="0"/>
          <w:kern w:val="0"/>
          <w:sz w:val="32"/>
          <w:szCs w:val="32"/>
        </w:rPr>
      </w:pPr>
      <w:r>
        <w:rPr>
          <w:rFonts w:hint="eastAsia" w:ascii="方正小标宋_GBK" w:hAnsi="方正小标宋_GBK" w:eastAsia="方正小标宋_GBK" w:cs="方正小标宋_GBK"/>
          <w:snapToGrid w:val="0"/>
          <w:kern w:val="0"/>
          <w:sz w:val="44"/>
          <w:szCs w:val="44"/>
        </w:rPr>
        <w:t>第四部分　附件</w:t>
      </w:r>
      <w:bookmarkEnd w:id="82"/>
      <w:bookmarkEnd w:id="83"/>
      <w:bookmarkStart w:id="84" w:name="_Toc9579"/>
      <w:bookmarkStart w:id="85" w:name="_Toc15396618"/>
    </w:p>
    <w:p>
      <w:pPr>
        <w:adjustRightInd w:val="0"/>
        <w:snapToGrid w:val="0"/>
        <w:spacing w:line="353" w:lineRule="auto"/>
        <w:ind w:firstLine="640" w:firstLineChars="200"/>
        <w:rPr>
          <w:rFonts w:eastAsia="仿宋"/>
          <w:snapToGrid w:val="0"/>
          <w:kern w:val="0"/>
          <w:sz w:val="32"/>
          <w:szCs w:val="32"/>
        </w:rPr>
      </w:pPr>
    </w:p>
    <w:p>
      <w:pPr>
        <w:adjustRightInd w:val="0"/>
        <w:snapToGrid w:val="0"/>
        <w:spacing w:line="353" w:lineRule="auto"/>
        <w:ind w:firstLine="640" w:firstLineChars="200"/>
        <w:rPr>
          <w:rFonts w:eastAsia="仿宋"/>
          <w:snapToGrid w:val="0"/>
          <w:kern w:val="0"/>
          <w:sz w:val="32"/>
          <w:szCs w:val="32"/>
        </w:rPr>
      </w:pPr>
      <w:r>
        <w:rPr>
          <w:rFonts w:eastAsia="仿宋"/>
          <w:snapToGrid w:val="0"/>
          <w:kern w:val="0"/>
          <w:sz w:val="32"/>
          <w:szCs w:val="32"/>
        </w:rPr>
        <w:t>部门预算项目支出绩效自评表（2022年度）见附件</w:t>
      </w:r>
      <w:bookmarkEnd w:id="84"/>
      <w:r>
        <w:rPr>
          <w:rFonts w:hint="eastAsia" w:eastAsia="仿宋"/>
          <w:snapToGrid w:val="0"/>
          <w:kern w:val="0"/>
          <w:sz w:val="32"/>
          <w:szCs w:val="32"/>
          <w:lang w:val="en-US" w:eastAsia="zh-CN"/>
        </w:rPr>
        <w:t>3</w:t>
      </w:r>
      <w:r>
        <w:rPr>
          <w:rFonts w:hint="eastAsia" w:eastAsia="仿宋"/>
          <w:snapToGrid w:val="0"/>
          <w:kern w:val="0"/>
          <w:sz w:val="32"/>
          <w:szCs w:val="32"/>
        </w:rPr>
        <w:t>。</w:t>
      </w: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rPr>
          <w:rFonts w:eastAsia="仿宋"/>
          <w:snapToGrid w:val="0"/>
          <w:kern w:val="0"/>
          <w:sz w:val="32"/>
          <w:szCs w:val="32"/>
        </w:rPr>
      </w:pPr>
    </w:p>
    <w:p>
      <w:pPr>
        <w:pStyle w:val="2"/>
        <w:spacing w:before="93"/>
        <w:rPr>
          <w:rFonts w:ascii="Times New Roman" w:eastAsia="仿宋"/>
          <w:snapToGrid w:val="0"/>
          <w:sz w:val="32"/>
          <w:szCs w:val="32"/>
        </w:rPr>
      </w:pPr>
    </w:p>
    <w:p>
      <w:pPr>
        <w:pStyle w:val="2"/>
        <w:spacing w:before="93"/>
        <w:rPr>
          <w:rFonts w:ascii="Times New Roman" w:eastAsia="仿宋"/>
          <w:snapToGrid w:val="0"/>
          <w:sz w:val="32"/>
          <w:szCs w:val="32"/>
        </w:rPr>
      </w:pPr>
    </w:p>
    <w:p>
      <w:pPr>
        <w:pStyle w:val="2"/>
        <w:spacing w:before="93"/>
        <w:rPr>
          <w:rFonts w:ascii="Times New Roman" w:eastAsia="仿宋"/>
          <w:snapToGrid w:val="0"/>
          <w:sz w:val="32"/>
          <w:szCs w:val="32"/>
        </w:rPr>
      </w:pPr>
    </w:p>
    <w:p>
      <w:pPr>
        <w:adjustRightInd w:val="0"/>
        <w:snapToGrid w:val="0"/>
        <w:spacing w:line="353" w:lineRule="auto"/>
        <w:rPr>
          <w:rFonts w:eastAsia="仿宋"/>
          <w:snapToGrid w:val="0"/>
          <w:kern w:val="0"/>
          <w:sz w:val="32"/>
          <w:szCs w:val="32"/>
        </w:rPr>
      </w:pP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bookmarkStart w:id="86" w:name="_Toc20186"/>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p>
    <w:p>
      <w:pPr>
        <w:adjustRightInd w:val="0"/>
        <w:snapToGrid w:val="0"/>
        <w:spacing w:line="353" w:lineRule="auto"/>
        <w:jc w:val="center"/>
        <w:rPr>
          <w:rFonts w:ascii="方正小标宋_GBK" w:hAnsi="方正小标宋_GBK" w:eastAsia="方正小标宋_GBK" w:cs="方正小标宋_GBK"/>
          <w:snapToGrid w:val="0"/>
          <w:kern w:val="0"/>
          <w:sz w:val="32"/>
          <w:szCs w:val="32"/>
        </w:rPr>
      </w:pPr>
    </w:p>
    <w:p>
      <w:pPr>
        <w:adjustRightInd w:val="0"/>
        <w:snapToGrid w:val="0"/>
        <w:spacing w:line="353" w:lineRule="auto"/>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第五部分　附表</w:t>
      </w:r>
      <w:bookmarkEnd w:id="81"/>
      <w:bookmarkEnd w:id="85"/>
      <w:bookmarkEnd w:id="86"/>
      <w:bookmarkStart w:id="87" w:name="_Toc15396619"/>
    </w:p>
    <w:p>
      <w:pPr>
        <w:adjustRightInd w:val="0"/>
        <w:snapToGrid w:val="0"/>
        <w:spacing w:line="353" w:lineRule="auto"/>
        <w:rPr>
          <w:rFonts w:eastAsia="仿宋"/>
          <w:snapToGrid w:val="0"/>
          <w:kern w:val="0"/>
          <w:sz w:val="32"/>
          <w:szCs w:val="32"/>
        </w:rPr>
      </w:pPr>
      <w:bookmarkStart w:id="88" w:name="_Toc3137"/>
    </w:p>
    <w:p>
      <w:pPr>
        <w:adjustRightInd w:val="0"/>
        <w:snapToGrid w:val="0"/>
        <w:spacing w:line="353" w:lineRule="auto"/>
        <w:rPr>
          <w:rFonts w:eastAsia="仿宋"/>
          <w:snapToGrid w:val="0"/>
          <w:kern w:val="0"/>
          <w:sz w:val="32"/>
          <w:szCs w:val="32"/>
        </w:rPr>
      </w:pPr>
      <w:r>
        <w:rPr>
          <w:rFonts w:hint="eastAsia" w:eastAsia="仿宋"/>
          <w:snapToGrid w:val="0"/>
          <w:kern w:val="0"/>
          <w:sz w:val="32"/>
          <w:szCs w:val="32"/>
        </w:rPr>
        <w:t>　　</w:t>
      </w:r>
      <w:r>
        <w:rPr>
          <w:rFonts w:eastAsia="仿宋"/>
          <w:snapToGrid w:val="0"/>
          <w:kern w:val="0"/>
          <w:sz w:val="32"/>
          <w:szCs w:val="32"/>
        </w:rPr>
        <w:t>一、收入支出决算总表</w:t>
      </w:r>
      <w:bookmarkEnd w:id="87"/>
      <w:bookmarkEnd w:id="88"/>
    </w:p>
    <w:p>
      <w:pPr>
        <w:adjustRightInd w:val="0"/>
        <w:snapToGrid w:val="0"/>
        <w:spacing w:line="353" w:lineRule="auto"/>
        <w:rPr>
          <w:rFonts w:eastAsia="仿宋"/>
          <w:snapToGrid w:val="0"/>
          <w:kern w:val="0"/>
          <w:sz w:val="32"/>
          <w:szCs w:val="32"/>
        </w:rPr>
      </w:pPr>
      <w:bookmarkStart w:id="89" w:name="_Toc15396620"/>
      <w:bookmarkStart w:id="90" w:name="_Toc17641"/>
      <w:r>
        <w:rPr>
          <w:rFonts w:hint="eastAsia" w:eastAsia="仿宋"/>
          <w:snapToGrid w:val="0"/>
          <w:kern w:val="0"/>
          <w:sz w:val="32"/>
          <w:szCs w:val="32"/>
        </w:rPr>
        <w:t>　　</w:t>
      </w:r>
      <w:r>
        <w:rPr>
          <w:rFonts w:eastAsia="仿宋"/>
          <w:snapToGrid w:val="0"/>
          <w:kern w:val="0"/>
          <w:sz w:val="32"/>
          <w:szCs w:val="32"/>
        </w:rPr>
        <w:t>二、收入决算表</w:t>
      </w:r>
      <w:bookmarkEnd w:id="89"/>
      <w:bookmarkEnd w:id="90"/>
    </w:p>
    <w:p>
      <w:pPr>
        <w:adjustRightInd w:val="0"/>
        <w:snapToGrid w:val="0"/>
        <w:spacing w:line="353" w:lineRule="auto"/>
        <w:rPr>
          <w:rFonts w:eastAsia="仿宋"/>
          <w:snapToGrid w:val="0"/>
          <w:kern w:val="0"/>
          <w:sz w:val="32"/>
          <w:szCs w:val="32"/>
        </w:rPr>
      </w:pPr>
      <w:bookmarkStart w:id="91" w:name="_Toc7753"/>
      <w:bookmarkStart w:id="92" w:name="_Toc15396621"/>
      <w:r>
        <w:rPr>
          <w:rFonts w:hint="eastAsia" w:eastAsia="仿宋"/>
          <w:snapToGrid w:val="0"/>
          <w:kern w:val="0"/>
          <w:sz w:val="32"/>
          <w:szCs w:val="32"/>
        </w:rPr>
        <w:t>　　</w:t>
      </w:r>
      <w:r>
        <w:rPr>
          <w:rFonts w:eastAsia="仿宋"/>
          <w:snapToGrid w:val="0"/>
          <w:kern w:val="0"/>
          <w:sz w:val="32"/>
          <w:szCs w:val="32"/>
        </w:rPr>
        <w:t>三、支出决算表</w:t>
      </w:r>
      <w:bookmarkEnd w:id="91"/>
      <w:bookmarkEnd w:id="92"/>
    </w:p>
    <w:p>
      <w:pPr>
        <w:adjustRightInd w:val="0"/>
        <w:snapToGrid w:val="0"/>
        <w:spacing w:line="353" w:lineRule="auto"/>
        <w:rPr>
          <w:rFonts w:eastAsia="仿宋"/>
          <w:snapToGrid w:val="0"/>
          <w:kern w:val="0"/>
          <w:sz w:val="32"/>
          <w:szCs w:val="32"/>
        </w:rPr>
      </w:pPr>
      <w:bookmarkStart w:id="93" w:name="_Toc15396622"/>
      <w:bookmarkStart w:id="94" w:name="_Toc17996"/>
      <w:r>
        <w:rPr>
          <w:rFonts w:hint="eastAsia" w:eastAsia="仿宋"/>
          <w:snapToGrid w:val="0"/>
          <w:kern w:val="0"/>
          <w:sz w:val="32"/>
          <w:szCs w:val="32"/>
        </w:rPr>
        <w:t>　　</w:t>
      </w:r>
      <w:r>
        <w:rPr>
          <w:rFonts w:eastAsia="仿宋"/>
          <w:snapToGrid w:val="0"/>
          <w:kern w:val="0"/>
          <w:sz w:val="32"/>
          <w:szCs w:val="32"/>
        </w:rPr>
        <w:t>四、财政拨款收入支出决算总表</w:t>
      </w:r>
      <w:bookmarkEnd w:id="93"/>
      <w:bookmarkEnd w:id="94"/>
    </w:p>
    <w:p>
      <w:pPr>
        <w:adjustRightInd w:val="0"/>
        <w:snapToGrid w:val="0"/>
        <w:spacing w:line="353" w:lineRule="auto"/>
        <w:rPr>
          <w:rFonts w:eastAsia="仿宋"/>
          <w:snapToGrid w:val="0"/>
          <w:kern w:val="0"/>
          <w:sz w:val="32"/>
          <w:szCs w:val="32"/>
        </w:rPr>
      </w:pPr>
      <w:bookmarkStart w:id="95" w:name="_Toc15396623"/>
      <w:bookmarkStart w:id="96" w:name="_Toc14157"/>
      <w:r>
        <w:rPr>
          <w:rFonts w:hint="eastAsia" w:eastAsia="仿宋"/>
          <w:snapToGrid w:val="0"/>
          <w:kern w:val="0"/>
          <w:sz w:val="32"/>
          <w:szCs w:val="32"/>
        </w:rPr>
        <w:t>　　</w:t>
      </w:r>
      <w:r>
        <w:rPr>
          <w:rFonts w:eastAsia="仿宋"/>
          <w:snapToGrid w:val="0"/>
          <w:kern w:val="0"/>
          <w:sz w:val="32"/>
          <w:szCs w:val="32"/>
        </w:rPr>
        <w:t>五、财政拨款支出决算明细表</w:t>
      </w:r>
      <w:bookmarkEnd w:id="95"/>
      <w:bookmarkEnd w:id="96"/>
      <w:bookmarkStart w:id="97" w:name="_Toc15396624"/>
    </w:p>
    <w:p>
      <w:pPr>
        <w:adjustRightInd w:val="0"/>
        <w:snapToGrid w:val="0"/>
        <w:spacing w:line="353" w:lineRule="auto"/>
        <w:rPr>
          <w:rFonts w:eastAsia="仿宋"/>
          <w:snapToGrid w:val="0"/>
          <w:kern w:val="0"/>
          <w:sz w:val="32"/>
          <w:szCs w:val="32"/>
        </w:rPr>
      </w:pPr>
      <w:bookmarkStart w:id="98" w:name="_Toc22753"/>
      <w:r>
        <w:rPr>
          <w:rFonts w:hint="eastAsia" w:eastAsia="仿宋"/>
          <w:snapToGrid w:val="0"/>
          <w:kern w:val="0"/>
          <w:sz w:val="32"/>
          <w:szCs w:val="32"/>
        </w:rPr>
        <w:t>　　</w:t>
      </w:r>
      <w:r>
        <w:rPr>
          <w:rFonts w:eastAsia="仿宋"/>
          <w:snapToGrid w:val="0"/>
          <w:kern w:val="0"/>
          <w:sz w:val="32"/>
          <w:szCs w:val="32"/>
        </w:rPr>
        <w:t>六、一般公共预算财政拨款支出决算表</w:t>
      </w:r>
      <w:bookmarkEnd w:id="97"/>
      <w:bookmarkEnd w:id="98"/>
    </w:p>
    <w:p>
      <w:pPr>
        <w:adjustRightInd w:val="0"/>
        <w:snapToGrid w:val="0"/>
        <w:spacing w:line="353" w:lineRule="auto"/>
        <w:rPr>
          <w:rFonts w:eastAsia="仿宋"/>
          <w:snapToGrid w:val="0"/>
          <w:kern w:val="0"/>
          <w:sz w:val="32"/>
          <w:szCs w:val="32"/>
        </w:rPr>
      </w:pPr>
      <w:bookmarkStart w:id="99" w:name="_Toc18253"/>
      <w:bookmarkStart w:id="100" w:name="_Toc15396625"/>
      <w:r>
        <w:rPr>
          <w:rFonts w:hint="eastAsia" w:eastAsia="仿宋"/>
          <w:snapToGrid w:val="0"/>
          <w:kern w:val="0"/>
          <w:sz w:val="32"/>
          <w:szCs w:val="32"/>
        </w:rPr>
        <w:t>　　</w:t>
      </w:r>
      <w:r>
        <w:rPr>
          <w:rFonts w:eastAsia="仿宋"/>
          <w:snapToGrid w:val="0"/>
          <w:kern w:val="0"/>
          <w:sz w:val="32"/>
          <w:szCs w:val="32"/>
        </w:rPr>
        <w:t>七、一般公共预算财政拨款支出决算明细表</w:t>
      </w:r>
      <w:bookmarkEnd w:id="99"/>
      <w:bookmarkEnd w:id="100"/>
    </w:p>
    <w:p>
      <w:pPr>
        <w:adjustRightInd w:val="0"/>
        <w:snapToGrid w:val="0"/>
        <w:spacing w:line="353" w:lineRule="auto"/>
        <w:rPr>
          <w:rFonts w:eastAsia="仿宋"/>
          <w:snapToGrid w:val="0"/>
          <w:kern w:val="0"/>
          <w:sz w:val="32"/>
          <w:szCs w:val="32"/>
        </w:rPr>
      </w:pPr>
      <w:bookmarkStart w:id="101" w:name="_Toc15396626"/>
      <w:bookmarkStart w:id="102" w:name="_Toc12222"/>
      <w:r>
        <w:rPr>
          <w:rFonts w:hint="eastAsia" w:eastAsia="仿宋"/>
          <w:snapToGrid w:val="0"/>
          <w:kern w:val="0"/>
          <w:sz w:val="32"/>
          <w:szCs w:val="32"/>
        </w:rPr>
        <w:t>　　</w:t>
      </w:r>
      <w:r>
        <w:rPr>
          <w:rFonts w:eastAsia="仿宋"/>
          <w:snapToGrid w:val="0"/>
          <w:kern w:val="0"/>
          <w:sz w:val="32"/>
          <w:szCs w:val="32"/>
        </w:rPr>
        <w:t>八、一般公共预算财政拨款基本支出决算表</w:t>
      </w:r>
      <w:bookmarkEnd w:id="101"/>
      <w:bookmarkEnd w:id="102"/>
    </w:p>
    <w:p>
      <w:pPr>
        <w:adjustRightInd w:val="0"/>
        <w:snapToGrid w:val="0"/>
        <w:spacing w:line="353" w:lineRule="auto"/>
        <w:rPr>
          <w:rFonts w:eastAsia="仿宋"/>
          <w:snapToGrid w:val="0"/>
          <w:kern w:val="0"/>
          <w:sz w:val="32"/>
          <w:szCs w:val="32"/>
        </w:rPr>
      </w:pPr>
      <w:bookmarkStart w:id="103" w:name="_Toc15396627"/>
      <w:bookmarkStart w:id="104" w:name="_Toc5055"/>
      <w:r>
        <w:rPr>
          <w:rFonts w:hint="eastAsia" w:eastAsia="仿宋"/>
          <w:snapToGrid w:val="0"/>
          <w:kern w:val="0"/>
          <w:sz w:val="32"/>
          <w:szCs w:val="32"/>
        </w:rPr>
        <w:t>　　</w:t>
      </w:r>
      <w:r>
        <w:rPr>
          <w:rFonts w:eastAsia="仿宋"/>
          <w:snapToGrid w:val="0"/>
          <w:kern w:val="0"/>
          <w:sz w:val="32"/>
          <w:szCs w:val="32"/>
        </w:rPr>
        <w:t>九、一般公共预算财政拨款项目支出决算表</w:t>
      </w:r>
      <w:bookmarkEnd w:id="103"/>
      <w:bookmarkEnd w:id="104"/>
    </w:p>
    <w:p>
      <w:pPr>
        <w:adjustRightInd w:val="0"/>
        <w:snapToGrid w:val="0"/>
        <w:spacing w:line="353" w:lineRule="auto"/>
        <w:rPr>
          <w:rFonts w:eastAsia="仿宋"/>
          <w:snapToGrid w:val="0"/>
          <w:kern w:val="0"/>
          <w:sz w:val="32"/>
          <w:szCs w:val="32"/>
        </w:rPr>
      </w:pPr>
      <w:bookmarkStart w:id="105" w:name="_Toc15396628"/>
      <w:bookmarkStart w:id="106" w:name="_Toc9835"/>
      <w:r>
        <w:rPr>
          <w:rFonts w:hint="eastAsia" w:eastAsia="仿宋"/>
          <w:snapToGrid w:val="0"/>
          <w:kern w:val="0"/>
          <w:sz w:val="32"/>
          <w:szCs w:val="32"/>
        </w:rPr>
        <w:t>　　</w:t>
      </w:r>
      <w:r>
        <w:rPr>
          <w:rFonts w:eastAsia="仿宋"/>
          <w:snapToGrid w:val="0"/>
          <w:kern w:val="0"/>
          <w:sz w:val="32"/>
          <w:szCs w:val="32"/>
        </w:rPr>
        <w:t>十、</w:t>
      </w:r>
      <w:bookmarkEnd w:id="105"/>
      <w:r>
        <w:rPr>
          <w:rFonts w:eastAsia="仿宋"/>
          <w:snapToGrid w:val="0"/>
          <w:kern w:val="0"/>
          <w:sz w:val="32"/>
          <w:szCs w:val="32"/>
        </w:rPr>
        <w:t>政府性基金预算财政拨款收入支出决算表</w:t>
      </w:r>
      <w:bookmarkEnd w:id="106"/>
    </w:p>
    <w:p>
      <w:pPr>
        <w:adjustRightInd w:val="0"/>
        <w:snapToGrid w:val="0"/>
        <w:spacing w:line="353" w:lineRule="auto"/>
        <w:rPr>
          <w:rFonts w:eastAsia="仿宋"/>
          <w:snapToGrid w:val="0"/>
          <w:kern w:val="0"/>
          <w:sz w:val="32"/>
          <w:szCs w:val="32"/>
        </w:rPr>
      </w:pPr>
      <w:bookmarkStart w:id="107" w:name="_Toc15396629"/>
      <w:bookmarkStart w:id="108" w:name="_Toc11854"/>
      <w:r>
        <w:rPr>
          <w:rFonts w:hint="eastAsia" w:eastAsia="仿宋"/>
          <w:snapToGrid w:val="0"/>
          <w:kern w:val="0"/>
          <w:sz w:val="32"/>
          <w:szCs w:val="32"/>
        </w:rPr>
        <w:t>　　</w:t>
      </w:r>
      <w:r>
        <w:rPr>
          <w:rFonts w:eastAsia="仿宋"/>
          <w:snapToGrid w:val="0"/>
          <w:kern w:val="0"/>
          <w:sz w:val="32"/>
          <w:szCs w:val="32"/>
        </w:rPr>
        <w:t>十一、</w:t>
      </w:r>
      <w:bookmarkEnd w:id="107"/>
      <w:r>
        <w:rPr>
          <w:rFonts w:eastAsia="仿宋"/>
          <w:snapToGrid w:val="0"/>
          <w:kern w:val="0"/>
          <w:sz w:val="32"/>
          <w:szCs w:val="32"/>
        </w:rPr>
        <w:t>国有资本经营预算财政拨款收入支出决算表</w:t>
      </w:r>
      <w:bookmarkEnd w:id="108"/>
    </w:p>
    <w:p>
      <w:pPr>
        <w:adjustRightInd w:val="0"/>
        <w:snapToGrid w:val="0"/>
        <w:spacing w:line="353" w:lineRule="auto"/>
        <w:rPr>
          <w:rFonts w:eastAsia="仿宋"/>
          <w:snapToGrid w:val="0"/>
          <w:kern w:val="0"/>
          <w:sz w:val="32"/>
          <w:szCs w:val="32"/>
        </w:rPr>
      </w:pPr>
      <w:bookmarkStart w:id="109" w:name="_Toc15396630"/>
      <w:bookmarkStart w:id="110" w:name="_Toc8996"/>
      <w:r>
        <w:rPr>
          <w:rFonts w:hint="eastAsia" w:eastAsia="仿宋"/>
          <w:snapToGrid w:val="0"/>
          <w:kern w:val="0"/>
          <w:sz w:val="32"/>
          <w:szCs w:val="32"/>
        </w:rPr>
        <w:t>　　</w:t>
      </w:r>
      <w:r>
        <w:rPr>
          <w:rFonts w:eastAsia="仿宋"/>
          <w:snapToGrid w:val="0"/>
          <w:kern w:val="0"/>
          <w:sz w:val="32"/>
          <w:szCs w:val="32"/>
        </w:rPr>
        <w:t>十二、</w:t>
      </w:r>
      <w:bookmarkEnd w:id="109"/>
      <w:r>
        <w:rPr>
          <w:rFonts w:eastAsia="仿宋"/>
          <w:snapToGrid w:val="0"/>
          <w:kern w:val="0"/>
          <w:sz w:val="32"/>
          <w:szCs w:val="32"/>
        </w:rPr>
        <w:t>国有资本经营预算财政拨款支出决算表</w:t>
      </w:r>
      <w:bookmarkEnd w:id="110"/>
    </w:p>
    <w:p>
      <w:pPr>
        <w:adjustRightInd w:val="0"/>
        <w:snapToGrid w:val="0"/>
        <w:spacing w:line="353" w:lineRule="auto"/>
        <w:rPr>
          <w:rFonts w:eastAsia="仿宋"/>
          <w:snapToGrid w:val="0"/>
          <w:kern w:val="0"/>
          <w:sz w:val="32"/>
          <w:szCs w:val="32"/>
        </w:rPr>
      </w:pPr>
      <w:bookmarkStart w:id="111" w:name="_Toc15396631"/>
      <w:bookmarkStart w:id="112" w:name="_Toc31379"/>
      <w:r>
        <w:rPr>
          <w:rFonts w:hint="eastAsia" w:eastAsia="仿宋"/>
          <w:snapToGrid w:val="0"/>
          <w:kern w:val="0"/>
          <w:sz w:val="32"/>
          <w:szCs w:val="32"/>
        </w:rPr>
        <w:t>　　</w:t>
      </w:r>
      <w:r>
        <w:rPr>
          <w:rFonts w:eastAsia="仿宋"/>
          <w:snapToGrid w:val="0"/>
          <w:kern w:val="0"/>
          <w:sz w:val="32"/>
          <w:szCs w:val="32"/>
        </w:rPr>
        <w:t>十三、</w:t>
      </w:r>
      <w:bookmarkEnd w:id="111"/>
      <w:r>
        <w:rPr>
          <w:rFonts w:eastAsia="仿宋"/>
          <w:snapToGrid w:val="0"/>
          <w:kern w:val="0"/>
          <w:sz w:val="32"/>
          <w:szCs w:val="32"/>
        </w:rPr>
        <w:t>财政拨款</w:t>
      </w:r>
      <w:r>
        <w:rPr>
          <w:rFonts w:hint="eastAsia" w:ascii="仿宋" w:hAnsi="仿宋" w:eastAsia="仿宋" w:cs="仿宋"/>
          <w:snapToGrid w:val="0"/>
          <w:kern w:val="0"/>
          <w:sz w:val="32"/>
          <w:szCs w:val="32"/>
        </w:rPr>
        <w:t>“</w:t>
      </w:r>
      <w:r>
        <w:rPr>
          <w:rFonts w:eastAsia="仿宋"/>
          <w:snapToGrid w:val="0"/>
          <w:kern w:val="0"/>
          <w:sz w:val="32"/>
          <w:szCs w:val="32"/>
        </w:rPr>
        <w:t>三公</w:t>
      </w:r>
      <w:r>
        <w:rPr>
          <w:rFonts w:hint="eastAsia" w:ascii="仿宋" w:hAnsi="仿宋" w:eastAsia="仿宋" w:cs="仿宋"/>
          <w:snapToGrid w:val="0"/>
          <w:kern w:val="0"/>
          <w:sz w:val="32"/>
          <w:szCs w:val="32"/>
        </w:rPr>
        <w:t>”</w:t>
      </w:r>
      <w:r>
        <w:rPr>
          <w:rFonts w:eastAsia="仿宋"/>
          <w:snapToGrid w:val="0"/>
          <w:kern w:val="0"/>
          <w:sz w:val="32"/>
          <w:szCs w:val="32"/>
        </w:rPr>
        <w:t>经费支出决算表</w:t>
      </w:r>
      <w:bookmarkEnd w:id="112"/>
    </w:p>
    <w:sectPr>
      <w:footerReference r:id="rId11" w:type="first"/>
      <w:footerReference r:id="rId10"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747701850"/>
      </w:sdtPr>
      <w:sdtContent/>
    </w:sdt>
    <w:r>
      <mc:AlternateContent>
        <mc:Choice Requires="wps">
          <w:drawing>
            <wp:inline distT="0" distB="0" distL="114300" distR="114300">
              <wp:extent cx="5052695" cy="395605"/>
              <wp:effectExtent l="0" t="0" r="0" b="0"/>
              <wp:docPr id="10" name="文本框 10"/>
              <wp:cNvGraphicFramePr/>
              <a:graphic xmlns:a="http://schemas.openxmlformats.org/drawingml/2006/main">
                <a:graphicData uri="http://schemas.microsoft.com/office/word/2010/wordprocessingShape">
                  <wps:wsp>
                    <wps:cNvSpPr txBox="true">
                      <a:spLocks noRot="true"/>
                    </wps:cNvSpPr>
                    <wps:spPr>
                      <a:xfrm>
                        <a:off x="0" y="0"/>
                        <a:ext cx="5052695" cy="395605"/>
                      </a:xfrm>
                      <a:prstGeom prst="rect">
                        <a:avLst/>
                      </a:prstGeom>
                      <a:noFill/>
                      <a:ln>
                        <a:noFill/>
                      </a:ln>
                    </wps:spPr>
                    <wps:txbx>
                      <w:txbxContent>
                        <w:p>
                          <w:pPr>
                            <w:spacing w:line="439" w:lineRule="atLeast"/>
                            <w:jc w:val="lef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２</w:t>
                          </w:r>
                          <w:r>
                            <w:rPr>
                              <w:rFonts w:hint="eastAsia"/>
                              <w:sz w:val="28"/>
                            </w:rPr>
                            <w:fldChar w:fldCharType="end"/>
                          </w:r>
                          <w:r>
                            <w:rPr>
                              <w:rFonts w:hint="eastAsia"/>
                              <w:sz w:val="28"/>
                            </w:rPr>
                            <w:t>－</w:t>
                          </w:r>
                        </w:p>
                      </w:txbxContent>
                    </wps:txbx>
                    <wps:bodyPr lIns="0" tIns="0" rIns="0" bIns="0" upright="true"/>
                  </wps:wsp>
                </a:graphicData>
              </a:graphic>
            </wp:inline>
          </w:drawing>
        </mc:Choice>
        <mc:Fallback>
          <w:pict>
            <v:shape id="_x0000_s1026" o:spid="_x0000_s1026" o:spt="202" type="#_x0000_t202" style="height:31.15pt;width:397.85pt;" filled="f" stroked="f" coordsize="21600,21600" o:gfxdata="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n+T9WNUAAAAEAQAADwAAAAAAAAABACAAAAA4AAAAZHJzL2Rv&#10;d25yZXYueG1sUEsBAhQAFAAAAAgAh07iQIkKwHO1AQAAUgMAAA4AAAAAAAAAAQAgAAAAOgEAAGRy&#10;cy9lMm9Eb2MueG1sUEsFBgAAAAAGAAYAWQEAAGEFAAAAAA==&#10;">
              <v:fill on="f" focussize="0,0"/>
              <v:stroke on="f"/>
              <v:imagedata o:title=""/>
              <o:lock v:ext="edit" rotation="t" aspectratio="f"/>
              <v:textbox inset="0mm,0mm,0mm,0mm">
                <w:txbxContent>
                  <w:p>
                    <w:pPr>
                      <w:spacing w:line="439" w:lineRule="atLeast"/>
                      <w:jc w:val="lef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２</w:t>
                    </w:r>
                    <w:r>
                      <w:rPr>
                        <w:rFonts w:hint="eastAsia"/>
                        <w:sz w:val="28"/>
                      </w:rPr>
                      <w:fldChar w:fldCharType="end"/>
                    </w:r>
                    <w:r>
                      <w:rPr>
                        <w:rFonts w:hint="eastAsia"/>
                        <w:sz w:val="28"/>
                      </w:rPr>
                      <w:t>－</w:t>
                    </w: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firstLineChars="200"/>
    </w:pPr>
    <w:r>
      <mc:AlternateContent>
        <mc:Choice Requires="wps">
          <w:drawing>
            <wp:inline distT="0" distB="0" distL="114300" distR="114300">
              <wp:extent cx="4846320" cy="395605"/>
              <wp:effectExtent l="0" t="0" r="0" b="0"/>
              <wp:docPr id="12" name="文本框 12"/>
              <wp:cNvGraphicFramePr/>
              <a:graphic xmlns:a="http://schemas.openxmlformats.org/drawingml/2006/main">
                <a:graphicData uri="http://schemas.microsoft.com/office/word/2010/wordprocessingShape">
                  <wps:wsp>
                    <wps:cNvSpPr txBox="true">
                      <a:spLocks noRot="true"/>
                    </wps:cNvSpPr>
                    <wps:spPr>
                      <a:xfrm>
                        <a:off x="0" y="0"/>
                        <a:ext cx="4846320" cy="395605"/>
                      </a:xfrm>
                      <a:prstGeom prst="rect">
                        <a:avLst/>
                      </a:prstGeom>
                      <a:noFill/>
                      <a:ln>
                        <a:noFill/>
                      </a:ln>
                    </wps:spPr>
                    <wps:txbx>
                      <w:txbxContent>
                        <w:p>
                          <w:pPr>
                            <w:spacing w:line="439" w:lineRule="atLeast"/>
                            <w:rPr>
                              <w:sz w:val="28"/>
                            </w:rPr>
                          </w:pP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１</w:t>
                          </w:r>
                          <w:r>
                            <w:rPr>
                              <w:rFonts w:hint="eastAsia"/>
                              <w:sz w:val="28"/>
                            </w:rPr>
                            <w:fldChar w:fldCharType="end"/>
                          </w:r>
                          <w:r>
                            <w:rPr>
                              <w:rFonts w:hint="eastAsia"/>
                              <w:sz w:val="28"/>
                            </w:rPr>
                            <w:t>－</w:t>
                          </w:r>
                        </w:p>
                      </w:txbxContent>
                    </wps:txbx>
                    <wps:bodyPr lIns="0" tIns="0" rIns="0" bIns="0" upright="true"/>
                  </wps:wsp>
                </a:graphicData>
              </a:graphic>
            </wp:inline>
          </w:drawing>
        </mc:Choice>
        <mc:Fallback>
          <w:pict>
            <v:shape id="_x0000_s1026" o:spid="_x0000_s1026" o:spt="202" type="#_x0000_t202" style="height:31.15pt;width:381.6pt;" filled="f" stroked="f" coordsize="21600,21600" o:gfxdata="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ylY2DtQAAAAEAQAADwAAAAAAAAABACAAAAA4AAAAZHJzL2Rv&#10;d25yZXYueG1sUEsBAhQAFAAAAAgAh07iQJZy22W2AQAAUgMAAA4AAAAAAAAAAQAgAAAAOQEAAGRy&#10;cy9lMm9Eb2MueG1sUEsFBgAAAAAGAAYAWQEAAGEFAAAAAA==&#10;">
              <v:fill on="f" focussize="0,0"/>
              <v:stroke on="f"/>
              <v:imagedata o:title=""/>
              <o:lock v:ext="edit" rotation="t" aspectratio="f"/>
              <v:textbox inset="0mm,0mm,0mm,0mm">
                <w:txbxContent>
                  <w:p>
                    <w:pPr>
                      <w:spacing w:line="439" w:lineRule="atLeast"/>
                      <w:rPr>
                        <w:sz w:val="28"/>
                      </w:rPr>
                    </w:pP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１</w:t>
                    </w:r>
                    <w:r>
                      <w:rPr>
                        <w:rFonts w:hint="eastAsia"/>
                        <w:sz w:val="28"/>
                      </w:rPr>
                      <w:fldChar w:fldCharType="end"/>
                    </w:r>
                    <w:r>
                      <w:rPr>
                        <w:rFonts w:hint="eastAsia"/>
                        <w:sz w:val="28"/>
                      </w:rPr>
                      <w:t>－</w:t>
                    </w:r>
                  </w:p>
                </w:txbxContent>
              </v:textbox>
              <w10:wrap type="none"/>
              <w10:anchorlock/>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70403747"/>
      </w:sdtPr>
      <w:sdtContent/>
    </w:sdt>
    <w:r>
      <mc:AlternateContent>
        <mc:Choice Requires="wps">
          <w:drawing>
            <wp:inline distT="0" distB="0" distL="114300" distR="114300">
              <wp:extent cx="5052695" cy="395605"/>
              <wp:effectExtent l="0" t="0" r="0" b="0"/>
              <wp:docPr id="3" name="文本框 3"/>
              <wp:cNvGraphicFramePr/>
              <a:graphic xmlns:a="http://schemas.openxmlformats.org/drawingml/2006/main">
                <a:graphicData uri="http://schemas.microsoft.com/office/word/2010/wordprocessingShape">
                  <wps:wsp>
                    <wps:cNvSpPr txBox="true">
                      <a:spLocks noRot="true"/>
                    </wps:cNvSpPr>
                    <wps:spPr>
                      <a:xfrm>
                        <a:off x="0" y="0"/>
                        <a:ext cx="5052695" cy="395605"/>
                      </a:xfrm>
                      <a:prstGeom prst="rect">
                        <a:avLst/>
                      </a:prstGeom>
                      <a:noFill/>
                      <a:ln>
                        <a:noFill/>
                      </a:ln>
                    </wps:spPr>
                    <wps:txbx>
                      <w:txbxContent>
                        <w:p>
                          <w:pPr>
                            <w:spacing w:line="439" w:lineRule="atLeast"/>
                            <w:jc w:val="lef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１９</w:t>
                          </w:r>
                          <w:r>
                            <w:rPr>
                              <w:rFonts w:hint="eastAsia"/>
                              <w:sz w:val="28"/>
                            </w:rPr>
                            <w:fldChar w:fldCharType="end"/>
                          </w:r>
                          <w:r>
                            <w:rPr>
                              <w:rFonts w:hint="eastAsia"/>
                              <w:sz w:val="28"/>
                            </w:rPr>
                            <w:t>－</w:t>
                          </w:r>
                        </w:p>
                      </w:txbxContent>
                    </wps:txbx>
                    <wps:bodyPr lIns="0" tIns="0" rIns="0" bIns="0" upright="true"/>
                  </wps:wsp>
                </a:graphicData>
              </a:graphic>
            </wp:inline>
          </w:drawing>
        </mc:Choice>
        <mc:Fallback>
          <w:pict>
            <v:shape id="_x0000_s1026" o:spid="_x0000_s1026" o:spt="202" type="#_x0000_t202" style="height:31.15pt;width:397.85pt;" filled="f" stroked="f" coordsize="21600,21600" o:gfxdata="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n+T9WNUAAAAEAQAADwAAAAAAAAABACAAAAA4AAAAZHJzL2Rv&#10;d25yZXYueG1sUEsBAhQAFAAAAAgAh07iQAwJjFe1AQAAUAMAAA4AAAAAAAAAAQAgAAAAOgEAAGRy&#10;cy9lMm9Eb2MueG1sUEsFBgAAAAAGAAYAWQEAAGEFAAAAAA==&#10;">
              <v:fill on="f" focussize="0,0"/>
              <v:stroke on="f"/>
              <v:imagedata o:title=""/>
              <o:lock v:ext="edit" rotation="t" aspectratio="f"/>
              <v:textbox inset="0mm,0mm,0mm,0mm">
                <w:txbxContent>
                  <w:p>
                    <w:pPr>
                      <w:spacing w:line="439" w:lineRule="atLeast"/>
                      <w:jc w:val="lef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１９</w:t>
                    </w:r>
                    <w:r>
                      <w:rPr>
                        <w:rFonts w:hint="eastAsia"/>
                        <w:sz w:val="28"/>
                      </w:rPr>
                      <w:fldChar w:fldCharType="end"/>
                    </w:r>
                    <w:r>
                      <w:rPr>
                        <w:rFonts w:hint="eastAsia"/>
                        <w:sz w:val="28"/>
                      </w:rPr>
                      <w:t>－</w:t>
                    </w:r>
                  </w:p>
                </w:txbxContent>
              </v:textbox>
              <w10:wrap type="none"/>
              <w10:anchorlock/>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firstLineChars="200"/>
    </w:pPr>
    <w:r>
      <mc:AlternateContent>
        <mc:Choice Requires="wps">
          <w:drawing>
            <wp:inline distT="0" distB="0" distL="114300" distR="114300">
              <wp:extent cx="4862195" cy="395605"/>
              <wp:effectExtent l="0" t="0" r="0" b="0"/>
              <wp:docPr id="4" name="文本框 4"/>
              <wp:cNvGraphicFramePr/>
              <a:graphic xmlns:a="http://schemas.openxmlformats.org/drawingml/2006/main">
                <a:graphicData uri="http://schemas.microsoft.com/office/word/2010/wordprocessingShape">
                  <wps:wsp>
                    <wps:cNvSpPr txBox="true">
                      <a:spLocks noRot="true"/>
                    </wps:cNvSpPr>
                    <wps:spPr>
                      <a:xfrm>
                        <a:off x="0" y="0"/>
                        <a:ext cx="4862195" cy="395605"/>
                      </a:xfrm>
                      <a:prstGeom prst="rect">
                        <a:avLst/>
                      </a:prstGeom>
                      <a:noFill/>
                      <a:ln>
                        <a:noFill/>
                      </a:ln>
                    </wps:spPr>
                    <wps:txbx>
                      <w:txbxContent>
                        <w:p>
                          <w:pPr>
                            <w:spacing w:line="439" w:lineRule="atLeast"/>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３</w:t>
                          </w:r>
                          <w:r>
                            <w:rPr>
                              <w:rFonts w:hint="eastAsia"/>
                              <w:sz w:val="28"/>
                            </w:rPr>
                            <w:fldChar w:fldCharType="end"/>
                          </w:r>
                          <w:r>
                            <w:rPr>
                              <w:rFonts w:hint="eastAsia"/>
                              <w:sz w:val="28"/>
                            </w:rPr>
                            <w:t>－</w:t>
                          </w:r>
                        </w:p>
                      </w:txbxContent>
                    </wps:txbx>
                    <wps:bodyPr lIns="0" tIns="0" rIns="0" bIns="0" upright="true"/>
                  </wps:wsp>
                </a:graphicData>
              </a:graphic>
            </wp:inline>
          </w:drawing>
        </mc:Choice>
        <mc:Fallback>
          <w:pict>
            <v:shape id="_x0000_s1026" o:spid="_x0000_s1026" o:spt="202" type="#_x0000_t202" style="height:31.15pt;width:382.85pt;" filled="f" stroked="f" coordsize="21600,21600" o:gfxdata="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gChHBNUAAAAEAQAADwAAAAAAAAABACAAAAA4AAAAZHJzL2Rv&#10;d25yZXYueG1sUEsBAhQAFAAAAAgAh07iQGWV6zS1AQAAUAMAAA4AAAAAAAAAAQAgAAAAOgEAAGRy&#10;cy9lMm9Eb2MueG1sUEsFBgAAAAAGAAYAWQEAAGEFAAAAAA==&#10;">
              <v:fill on="f" focussize="0,0"/>
              <v:stroke on="f"/>
              <v:imagedata o:title=""/>
              <o:lock v:ext="edit" rotation="t" aspectratio="f"/>
              <v:textbox inset="0mm,0mm,0mm,0mm">
                <w:txbxContent>
                  <w:p>
                    <w:pPr>
                      <w:spacing w:line="439" w:lineRule="atLeast"/>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３</w:t>
                    </w:r>
                    <w:r>
                      <w:rPr>
                        <w:rFonts w:hint="eastAsia"/>
                        <w:sz w:val="28"/>
                      </w:rPr>
                      <w:fldChar w:fldCharType="end"/>
                    </w:r>
                    <w:r>
                      <w:rPr>
                        <w:rFonts w:hint="eastAsia"/>
                        <w:sz w:val="28"/>
                      </w:rPr>
                      <w:t>－</w:t>
                    </w:r>
                  </w:p>
                </w:txbxContent>
              </v:textbox>
              <w10:wrap type="none"/>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TdlZmZlODUxODk1NTVjZDc4M2MyYzI4MGI3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1412"/>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D3D71"/>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47F37"/>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BA8"/>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836F55"/>
    <w:rsid w:val="053A62B5"/>
    <w:rsid w:val="05A956F3"/>
    <w:rsid w:val="07E221F7"/>
    <w:rsid w:val="0A2032A3"/>
    <w:rsid w:val="0B8A37D8"/>
    <w:rsid w:val="0CAD459C"/>
    <w:rsid w:val="0FAC10FB"/>
    <w:rsid w:val="0FFC2598"/>
    <w:rsid w:val="10C055FF"/>
    <w:rsid w:val="118107EC"/>
    <w:rsid w:val="11DD6519"/>
    <w:rsid w:val="11F07902"/>
    <w:rsid w:val="128F4F93"/>
    <w:rsid w:val="158C3C20"/>
    <w:rsid w:val="16BB723D"/>
    <w:rsid w:val="18015F3F"/>
    <w:rsid w:val="18471593"/>
    <w:rsid w:val="186B0874"/>
    <w:rsid w:val="1A4474E3"/>
    <w:rsid w:val="1A9B03CC"/>
    <w:rsid w:val="1BE8440E"/>
    <w:rsid w:val="1D155CEE"/>
    <w:rsid w:val="1DF02929"/>
    <w:rsid w:val="1F1A0173"/>
    <w:rsid w:val="20F57F95"/>
    <w:rsid w:val="21C0259F"/>
    <w:rsid w:val="227F2B85"/>
    <w:rsid w:val="240371BF"/>
    <w:rsid w:val="2425014F"/>
    <w:rsid w:val="25711CC6"/>
    <w:rsid w:val="25C741E6"/>
    <w:rsid w:val="27842671"/>
    <w:rsid w:val="29FD04D3"/>
    <w:rsid w:val="2ABE7A3E"/>
    <w:rsid w:val="2CA234A8"/>
    <w:rsid w:val="2E9E7C5A"/>
    <w:rsid w:val="2EFA178C"/>
    <w:rsid w:val="2F667168"/>
    <w:rsid w:val="30B46D73"/>
    <w:rsid w:val="319F7F4E"/>
    <w:rsid w:val="337ABC12"/>
    <w:rsid w:val="383D272C"/>
    <w:rsid w:val="39AE70AB"/>
    <w:rsid w:val="3C0C0783"/>
    <w:rsid w:val="3DCFA6C6"/>
    <w:rsid w:val="3EFF2488"/>
    <w:rsid w:val="3F5A319C"/>
    <w:rsid w:val="3F9F3A96"/>
    <w:rsid w:val="3FEFAC30"/>
    <w:rsid w:val="3FF6F63C"/>
    <w:rsid w:val="3FF7B2A8"/>
    <w:rsid w:val="3FFEC97A"/>
    <w:rsid w:val="40D5272A"/>
    <w:rsid w:val="45A517D0"/>
    <w:rsid w:val="47065577"/>
    <w:rsid w:val="48BF60AB"/>
    <w:rsid w:val="493C27E9"/>
    <w:rsid w:val="496F39ED"/>
    <w:rsid w:val="49FF41D3"/>
    <w:rsid w:val="4A760550"/>
    <w:rsid w:val="4BE068DB"/>
    <w:rsid w:val="4BF6002B"/>
    <w:rsid w:val="4ECE2238"/>
    <w:rsid w:val="4F79997C"/>
    <w:rsid w:val="51DB4B86"/>
    <w:rsid w:val="532A7C24"/>
    <w:rsid w:val="552FA60C"/>
    <w:rsid w:val="55333C3E"/>
    <w:rsid w:val="55BF4E27"/>
    <w:rsid w:val="57DB8750"/>
    <w:rsid w:val="57F2A10F"/>
    <w:rsid w:val="5A36BBA4"/>
    <w:rsid w:val="5BEB5056"/>
    <w:rsid w:val="5BFB026C"/>
    <w:rsid w:val="5D2B15A4"/>
    <w:rsid w:val="5D5B31B7"/>
    <w:rsid w:val="5EF71C72"/>
    <w:rsid w:val="60CB6363"/>
    <w:rsid w:val="62C10075"/>
    <w:rsid w:val="64CA39A1"/>
    <w:rsid w:val="667FD305"/>
    <w:rsid w:val="67742832"/>
    <w:rsid w:val="679A5059"/>
    <w:rsid w:val="69630ADE"/>
    <w:rsid w:val="6BEE40FD"/>
    <w:rsid w:val="6C2D6280"/>
    <w:rsid w:val="6C4A05C8"/>
    <w:rsid w:val="6D3B1A89"/>
    <w:rsid w:val="6D5740C6"/>
    <w:rsid w:val="6D5E5F2E"/>
    <w:rsid w:val="6F1F28E2"/>
    <w:rsid w:val="6F69204C"/>
    <w:rsid w:val="6FC644B3"/>
    <w:rsid w:val="718FC225"/>
    <w:rsid w:val="71BF4EC2"/>
    <w:rsid w:val="72734D90"/>
    <w:rsid w:val="72F22175"/>
    <w:rsid w:val="73FE0757"/>
    <w:rsid w:val="7412278C"/>
    <w:rsid w:val="76265C07"/>
    <w:rsid w:val="76810189"/>
    <w:rsid w:val="77BF277F"/>
    <w:rsid w:val="799FD9BD"/>
    <w:rsid w:val="79E7B28D"/>
    <w:rsid w:val="7A4FA94F"/>
    <w:rsid w:val="7AA1376E"/>
    <w:rsid w:val="7BEBA8BE"/>
    <w:rsid w:val="7BFCEF67"/>
    <w:rsid w:val="7CBF357A"/>
    <w:rsid w:val="7E325778"/>
    <w:rsid w:val="7E3799AD"/>
    <w:rsid w:val="7EB89948"/>
    <w:rsid w:val="7F7F0236"/>
    <w:rsid w:val="7F9F20EE"/>
    <w:rsid w:val="7FB486E3"/>
    <w:rsid w:val="7FBFB106"/>
    <w:rsid w:val="7FF7900F"/>
    <w:rsid w:val="7FFD5422"/>
    <w:rsid w:val="7FFE880B"/>
    <w:rsid w:val="9BFF3DEF"/>
    <w:rsid w:val="9DFC5677"/>
    <w:rsid w:val="9E3A10E2"/>
    <w:rsid w:val="9EBD4496"/>
    <w:rsid w:val="ABF7D2EA"/>
    <w:rsid w:val="AEC6A6FB"/>
    <w:rsid w:val="AFAFEC13"/>
    <w:rsid w:val="BCF662A4"/>
    <w:rsid w:val="BDDB7DBB"/>
    <w:rsid w:val="BFF757F4"/>
    <w:rsid w:val="BFFFA33F"/>
    <w:rsid w:val="CBBC81D5"/>
    <w:rsid w:val="CFD1110B"/>
    <w:rsid w:val="CFEC6BD0"/>
    <w:rsid w:val="CFF7E433"/>
    <w:rsid w:val="D15D8196"/>
    <w:rsid w:val="D2BA87F7"/>
    <w:rsid w:val="DEEFCEE5"/>
    <w:rsid w:val="EE7B9D50"/>
    <w:rsid w:val="EEDFEB04"/>
    <w:rsid w:val="EEFE3D67"/>
    <w:rsid w:val="EFE9EEC3"/>
    <w:rsid w:val="F2E1F9D4"/>
    <w:rsid w:val="F5BD6BDC"/>
    <w:rsid w:val="F67F81B8"/>
    <w:rsid w:val="F6B3882E"/>
    <w:rsid w:val="F7880819"/>
    <w:rsid w:val="F7CE4C3D"/>
    <w:rsid w:val="F8BF7EE7"/>
    <w:rsid w:val="FA7EFD16"/>
    <w:rsid w:val="FB7FC91C"/>
    <w:rsid w:val="FDFFC2EA"/>
    <w:rsid w:val="FEEDF929"/>
    <w:rsid w:val="FF559ED1"/>
    <w:rsid w:val="FFFD7A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22&#24180;&#20915;&#31639;&#20844;&#24320;1111\&#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037;&#20316;&#3180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4037;&#20316;&#3180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收、支决算总计变动情况</a:t>
            </a:r>
            <a:endPar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overlay val="false"/>
      <c:spPr>
        <a:noFill/>
        <a:ln>
          <a:noFill/>
        </a:ln>
        <a:effectLst/>
      </c:spPr>
    </c:title>
    <c:autoTitleDeleted val="false"/>
    <c:plotArea>
      <c:layout>
        <c:manualLayout>
          <c:layoutTarget val="inner"/>
          <c:xMode val="edge"/>
          <c:yMode val="edge"/>
          <c:x val="0.310981048805815"/>
          <c:y val="0.236903738103428"/>
          <c:w val="0.560777777777778"/>
          <c:h val="0.639259259259259"/>
        </c:manualLayout>
      </c:layout>
      <c:barChart>
        <c:barDir val="col"/>
        <c:grouping val="clustered"/>
        <c:varyColors val="false"/>
        <c:ser>
          <c:idx val="0"/>
          <c:order val="0"/>
          <c:tx>
            <c:strRef>
              <c:f>"收、支决算总计"</c:f>
              <c:strCache>
                <c:ptCount val="1"/>
                <c:pt idx="0">
                  <c:v>收、支决算总计</c:v>
                </c:pt>
              </c:strCache>
            </c:strRef>
          </c:tx>
          <c:spPr>
            <a:solidFill>
              <a:schemeClr val="accent1"/>
            </a:solidFill>
            <a:ln>
              <a:noFill/>
            </a:ln>
            <a:effectLst/>
          </c:spPr>
          <c:invertIfNegative val="false"/>
          <c:dLbls>
            <c:delete val="true"/>
          </c:dLbls>
          <c:cat>
            <c:strRef>
              <c:f>[工作簿1]Sheet1!$A$2:$A$3</c:f>
              <c:strCache>
                <c:ptCount val="2"/>
                <c:pt idx="0">
                  <c:v>2021年</c:v>
                </c:pt>
                <c:pt idx="1">
                  <c:v>2022年</c:v>
                </c:pt>
              </c:strCache>
            </c:strRef>
          </c:cat>
          <c:val>
            <c:numRef>
              <c:f>[工作簿1]Sheet1!$B$2:$B$3</c:f>
              <c:numCache>
                <c:formatCode>General</c:formatCode>
                <c:ptCount val="2"/>
                <c:pt idx="0">
                  <c:v>3586.9</c:v>
                </c:pt>
                <c:pt idx="1">
                  <c:v>4051.66</c:v>
                </c:pt>
              </c:numCache>
            </c:numRef>
          </c:val>
        </c:ser>
        <c:dLbls>
          <c:showLegendKey val="false"/>
          <c:showVal val="false"/>
          <c:showCatName val="false"/>
          <c:showSerName val="false"/>
          <c:showPercent val="false"/>
          <c:showBubbleSize val="false"/>
        </c:dLbls>
        <c:gapWidth val="150"/>
        <c:axId val="107509912"/>
        <c:axId val="655366896"/>
        <c:extLst>
          <c:ext xmlns:c15="http://schemas.microsoft.com/office/drawing/2012/chart" uri="{02D57815-91ED-43cb-92C2-25804820EDAC}">
            <c15:filteredBarSeries>
              <c15:ser>
                <c:idx val="1"/>
                <c:order val="1"/>
                <c:tx>
                  <c:strRef>
                    <c:extLst>
                      <c:ext uri="{02D57815-91ED-43cb-92C2-25804820EDAC}">
                        <c15:formulaRef>
                          <c15:sqref>"收、支决算总计"</c15:sqref>
                        </c15:formulaRef>
                      </c:ext>
                    </c:extLst>
                    <c:strCache>
                      <c:ptCount val="1"/>
                      <c:pt idx="0">
                        <c:v>收、支决算总计</c:v>
                      </c:pt>
                    </c:strCache>
                  </c:strRef>
                </c:tx>
                <c:spPr>
                  <a:solidFill>
                    <a:schemeClr val="accent2"/>
                  </a:solidFill>
                  <a:ln>
                    <a:noFill/>
                  </a:ln>
                  <a:effectLst/>
                </c:spPr>
                <c:invertIfNegative val="false"/>
                <c:dLbls>
                  <c:delete val="true"/>
                </c:dLbls>
                <c:cat>
                  <c:strRef>
                    <c:extLst>
                      <c:ext uri="{02D57815-91ED-43cb-92C2-25804820EDAC}">
                        <c15:fullRef>
                          <c15:sqref/>
                        </c15:fullRef>
                        <c15:formulaRef>
                          <c15:sqref>[工作簿1]Sheet1!$A$2:$A$3</c15:sqref>
                        </c15:formulaRef>
                      </c:ext>
                    </c:extLst>
                    <c:strCache>
                      <c:ptCount val="2"/>
                      <c:pt idx="0">
                        <c:v>2021年</c:v>
                      </c:pt>
                      <c:pt idx="1">
                        <c:v>2022年</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1075099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5366896"/>
        <c:crosses val="autoZero"/>
        <c:auto val="true"/>
        <c:lblAlgn val="ctr"/>
        <c:lblOffset val="100"/>
        <c:noMultiLvlLbl val="false"/>
      </c:catAx>
      <c:valAx>
        <c:axId val="655366896"/>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true"/>
              <a:lstStyle/>
              <a:p>
                <a:pPr defTabSz="914400">
                  <a:defRPr lang="zh-CN" sz="10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单位：万元</a:t>
                </a:r>
                <a:endParaRPr lang="zh-CN" altLang="en-US"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manualLayout>
              <c:xMode val="edge"/>
              <c:yMode val="edge"/>
              <c:x val="0.764981486630887"/>
              <c:y val="0.0966775208486026"/>
            </c:manualLayout>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75099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sz="1600"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收入决算结构</a:t>
            </a:r>
            <a:endParaRPr lang="zh-CN" altLang="en-US" sz="1600"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manualLayout>
          <c:xMode val="edge"/>
          <c:yMode val="edge"/>
          <c:x val="0.370019342359768"/>
          <c:y val="0.0326975476839237"/>
        </c:manualLayout>
      </c:layout>
      <c:overlay val="false"/>
      <c:spPr>
        <a:noFill/>
        <a:ln>
          <a:noFill/>
        </a:ln>
        <a:effectLst/>
      </c:spPr>
    </c:title>
    <c:autoTitleDeleted val="false"/>
    <c:plotArea>
      <c:layout>
        <c:manualLayout>
          <c:layoutTarget val="inner"/>
          <c:xMode val="edge"/>
          <c:yMode val="edge"/>
          <c:x val="0.310686935872159"/>
          <c:y val="0.210900434383506"/>
          <c:w val="0.415860735009671"/>
          <c:h val="0.789860396767083"/>
        </c:manualLayout>
      </c:layout>
      <c:pieChart>
        <c:varyColors val="true"/>
        <c:ser>
          <c:idx val="0"/>
          <c:order val="0"/>
          <c:tx>
            <c:strRef>
              <c:f>[工作簿1.xlsx]Sheet1!$A$6</c:f>
              <c:strCache>
                <c:ptCount val="1"/>
                <c:pt idx="0">
                  <c:v>一般公共预算财政拨款收入</c:v>
                </c:pt>
              </c:strCache>
            </c:strRef>
          </c:tx>
          <c:spPr>
            <a:ln w="19050">
              <a:noFill/>
            </a:ln>
          </c:spPr>
          <c:explosion val="0"/>
          <c:dPt>
            <c:idx val="0"/>
            <c:bubble3D val="false"/>
            <c:spPr>
              <a:solidFill>
                <a:schemeClr val="accent1"/>
              </a:solidFill>
              <a:ln w="19050">
                <a:noFill/>
              </a:ln>
              <a:effectLst/>
            </c:spPr>
          </c:dPt>
          <c:dLbls>
            <c:dLbl>
              <c:idx val="0"/>
              <c:layout>
                <c:manualLayout>
                  <c:x val="0.00543492537955578"/>
                  <c:y val="-0.344225060628336"/>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1200" b="1">
                        <a:latin typeface="Times New Roman" panose="02020603050405020304" charset="0"/>
                        <a:ea typeface="Times New Roman" panose="02020603050405020304" charset="0"/>
                        <a:cs typeface="Times New Roman" panose="02020603050405020304" charset="0"/>
                        <a:sym typeface="Times New Roman" panose="02020603050405020304" charset="0"/>
                      </a:rPr>
                      <a:t>一般公共预算财政拨款收入</a:t>
                    </a:r>
                    <a:r>
                      <a:rPr lang="en-US" altLang="zh-CN" sz="1200" b="1">
                        <a:latin typeface="Times New Roman" panose="02020603050405020304" charset="0"/>
                        <a:ea typeface="Times New Roman" panose="02020603050405020304" charset="0"/>
                        <a:cs typeface="Times New Roman" panose="02020603050405020304" charset="0"/>
                        <a:sym typeface="Times New Roman" panose="02020603050405020304" charset="0"/>
                      </a:rPr>
                      <a:t>3817</a:t>
                    </a:r>
                    <a:r>
                      <a:rPr lang="zh-CN" altLang="en-US" sz="1200" b="1">
                        <a:latin typeface="Times New Roman" panose="02020603050405020304" charset="0"/>
                        <a:ea typeface="Times New Roman" panose="02020603050405020304" charset="0"/>
                        <a:cs typeface="Times New Roman" panose="02020603050405020304" charset="0"/>
                        <a:sym typeface="Times New Roman" panose="02020603050405020304" charset="0"/>
                      </a:rPr>
                      <a:t>万元，占本年收入</a:t>
                    </a:r>
                    <a:r>
                      <a:rPr lang="en-US" altLang="zh-CN" sz="1200" b="1">
                        <a:latin typeface="Times New Roman" panose="02020603050405020304" charset="0"/>
                        <a:ea typeface="Times New Roman" panose="02020603050405020304" charset="0"/>
                        <a:cs typeface="Times New Roman" panose="02020603050405020304" charset="0"/>
                        <a:sym typeface="Times New Roman" panose="02020603050405020304" charset="0"/>
                      </a:rPr>
                      <a:t>100%</a:t>
                    </a:r>
                    <a:endParaRPr lang="en-US" altLang="zh-CN" sz="12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false"/>
              <c:showVal val="true"/>
              <c:showCatName val="true"/>
              <c:showSerName val="false"/>
              <c:showPercent val="false"/>
              <c:showBubbleSize val="false"/>
              <c:extLst>
                <c:ext xmlns:c15="http://schemas.microsoft.com/office/drawing/2012/chart" uri="{CE6537A1-D6FC-4f65-9D91-7224C49458BB}">
                  <c15:layout>
                    <c:manualLayout>
                      <c:w val="0.438039974210187"/>
                      <c:h val="0.257653686015185"/>
                    </c:manualLayout>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true"/>
            <c:showVal val="true"/>
            <c:showCatName val="tru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[工作簿1.xlsx]Sheet1!$A$6</c:f>
              <c:strCache>
                <c:ptCount val="1"/>
                <c:pt idx="0">
                  <c:v>一般公共预算财政拨款收入</c:v>
                </c:pt>
              </c:strCache>
            </c:strRef>
          </c:cat>
          <c:val>
            <c:numRef>
              <c:f>[工作簿1.xlsx]Sheet1!$B$6</c:f>
              <c:numCache>
                <c:formatCode>General</c:formatCode>
                <c:ptCount val="1"/>
                <c:pt idx="0">
                  <c:v>3817</c:v>
                </c:pt>
              </c:numCache>
            </c:numRef>
          </c:val>
        </c:ser>
        <c:dLbls>
          <c:showLegendKey val="true"/>
          <c:showVal val="true"/>
          <c:showCatName val="false"/>
          <c:showSerName val="false"/>
          <c:showPercent val="true"/>
          <c:showBubbleSize val="false"/>
          <c:showLeaderLines val="false"/>
        </c:dLbls>
        <c:firstSliceAng val="0"/>
      </c:pieChart>
      <c:spPr>
        <a:noFill/>
        <a:ln>
          <a:noFill/>
        </a:ln>
        <a:effectLst/>
      </c:spPr>
    </c:plotArea>
    <c:plotVisOnly val="fals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0"/>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支出决算结构</a:t>
            </a:r>
            <a:endParaRPr lang="zh-CN" altLang="en-US">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overlay val="false"/>
      <c:spPr>
        <a:noFill/>
        <a:ln>
          <a:noFill/>
        </a:ln>
        <a:effectLst/>
      </c:spPr>
    </c:title>
    <c:autoTitleDeleted val="false"/>
    <c:plotArea>
      <c:layout>
        <c:manualLayout>
          <c:layoutTarget val="inner"/>
          <c:xMode val="edge"/>
          <c:yMode val="edge"/>
          <c:x val="0.193247821878025"/>
          <c:y val="0.287607953404298"/>
          <c:w val="0.402589545014521"/>
          <c:h val="0.668206467162081"/>
        </c:manualLayout>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1"/>
              <c:layout>
                <c:manualLayout>
                  <c:x val="0.0505134969219216"/>
                  <c:y val="0.13131196346807"/>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17981972817691"/>
                  <c:y val="-0.00609258887378198"/>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834943098541386"/>
                  <c:y val="-0.00307993573058054"/>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0907587407616157"/>
                  <c:y val="-0.060320345451408"/>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[工作簿1.xlsx]Sheet1!$A$16:$A$20</c:f>
              <c:strCache>
                <c:ptCount val="5"/>
                <c:pt idx="0">
                  <c:v>基本支出</c:v>
                </c:pt>
                <c:pt idx="1">
                  <c:v>项目支出</c:v>
                </c:pt>
                <c:pt idx="2">
                  <c:v>上缴上级支出</c:v>
                </c:pt>
                <c:pt idx="3">
                  <c:v>经营支出</c:v>
                </c:pt>
                <c:pt idx="4">
                  <c:v>对附属单位补助支出</c:v>
                </c:pt>
              </c:strCache>
            </c:strRef>
          </c:cat>
          <c:val>
            <c:numRef>
              <c:f>[工作簿1.xlsx]Sheet1!$B$16:$B$20</c:f>
              <c:numCache>
                <c:formatCode>General</c:formatCode>
                <c:ptCount val="5"/>
                <c:pt idx="0">
                  <c:v>3506.97</c:v>
                </c:pt>
                <c:pt idx="1">
                  <c:v>525</c:v>
                </c:pt>
                <c:pt idx="2">
                  <c:v>0</c:v>
                </c:pt>
                <c:pt idx="3">
                  <c:v>0</c:v>
                </c:pt>
                <c:pt idx="4">
                  <c:v>0</c:v>
                </c:pt>
              </c:numCache>
            </c:numRef>
          </c:val>
        </c:ser>
        <c:dLbls>
          <c:showLegendKey val="tru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sz="1500"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财政拨款收、支决算总计变动情况</a:t>
            </a:r>
            <a:endParaRPr lang="zh-CN" altLang="en-US" sz="1500"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overlay val="false"/>
      <c:spPr>
        <a:noFill/>
        <a:ln>
          <a:noFill/>
        </a:ln>
        <a:effectLst/>
      </c:spPr>
    </c:title>
    <c:autoTitleDeleted val="false"/>
    <c:plotArea>
      <c:layout>
        <c:manualLayout>
          <c:layoutTarget val="inner"/>
          <c:xMode val="edge"/>
          <c:yMode val="edge"/>
          <c:x val="0.23560560680484"/>
          <c:y val="0.196455223880597"/>
          <c:w val="0.456499341080628"/>
          <c:h val="0.726380597014925"/>
        </c:manualLayout>
      </c:layout>
      <c:barChart>
        <c:barDir val="col"/>
        <c:grouping val="clustered"/>
        <c:varyColors val="false"/>
        <c:ser>
          <c:idx val="0"/>
          <c:order val="0"/>
          <c:tx>
            <c:strRef>
              <c:f>"财政拨款收、支决算总计"</c:f>
              <c:strCache>
                <c:ptCount val="1"/>
                <c:pt idx="0">
                  <c:v>财政拨款收、支决算总计</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[工作簿1.xlsx]Sheet1!$A$2:$A$3</c:f>
              <c:strCache>
                <c:ptCount val="2"/>
                <c:pt idx="0">
                  <c:v>2021年</c:v>
                </c:pt>
                <c:pt idx="1">
                  <c:v>2022年</c:v>
                </c:pt>
              </c:strCache>
            </c:strRef>
          </c:cat>
          <c:val>
            <c:numRef>
              <c:f>[工作簿1.xlsx]Sheet1!$B$2:$B$3</c:f>
              <c:numCache>
                <c:formatCode>General</c:formatCode>
                <c:ptCount val="2"/>
                <c:pt idx="0">
                  <c:v>3586.9</c:v>
                </c:pt>
                <c:pt idx="1">
                  <c:v>4051.66</c:v>
                </c:pt>
              </c:numCache>
            </c:numRef>
          </c:val>
        </c:ser>
        <c:dLbls>
          <c:showLegendKey val="false"/>
          <c:showVal val="true"/>
          <c:showCatName val="false"/>
          <c:showSerName val="false"/>
          <c:showPercent val="false"/>
          <c:showBubbleSize val="false"/>
        </c:dLbls>
        <c:gapWidth val="219"/>
        <c:overlap val="-27"/>
        <c:axId val="675029212"/>
        <c:axId val="924393115"/>
      </c:barChart>
      <c:catAx>
        <c:axId val="6750292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24393115"/>
        <c:crosses val="autoZero"/>
        <c:auto val="true"/>
        <c:lblAlgn val="ctr"/>
        <c:lblOffset val="100"/>
        <c:noMultiLvlLbl val="false"/>
      </c:catAx>
      <c:valAx>
        <c:axId val="924393115"/>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true"/>
              <a:lstStyle/>
              <a:p>
                <a:pPr defTabSz="914400">
                  <a:defRPr lang="zh-CN" sz="10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单位：万元</a:t>
                </a:r>
                <a:endParaRPr lang="zh-CN" altLang="en-US"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manualLayout>
              <c:xMode val="edge"/>
              <c:yMode val="edge"/>
              <c:x val="0.763261921013447"/>
              <c:y val="0.110851636709154"/>
            </c:manualLayout>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75029212"/>
        <c:crosses val="autoZero"/>
        <c:crossBetween val="between"/>
      </c:valAx>
      <c:spPr>
        <a:noFill/>
        <a:ln>
          <a:noFill/>
        </a:ln>
        <a:effectLst/>
      </c:spPr>
    </c:plotArea>
    <c:legend>
      <c:legendPos val="r"/>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702679018527792"/>
          <c:y val="0.506083728603836"/>
          <c:w val="0.282298447671507"/>
          <c:h val="0.117343782223139"/>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一般公共预算财政拨款支出决算变动情况</a:t>
            </a:r>
            <a:endPar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manualLayout>
          <c:xMode val="edge"/>
          <c:yMode val="edge"/>
          <c:x val="0.167073022065098"/>
          <c:y val="0.0357985837922895"/>
        </c:manualLayout>
      </c:layout>
      <c:overlay val="false"/>
      <c:spPr>
        <a:noFill/>
        <a:ln>
          <a:noFill/>
        </a:ln>
        <a:effectLst/>
      </c:spPr>
    </c:title>
    <c:autoTitleDeleted val="false"/>
    <c:plotArea>
      <c:layout>
        <c:manualLayout>
          <c:layoutTarget val="inner"/>
          <c:xMode val="edge"/>
          <c:yMode val="edge"/>
          <c:x val="0.152822138242107"/>
          <c:y val="0.2492468367142"/>
          <c:w val="0.570571742045593"/>
          <c:h val="0.653625225948986"/>
        </c:manualLayout>
      </c:layout>
      <c:barChart>
        <c:barDir val="col"/>
        <c:grouping val="clustered"/>
        <c:varyColors val="false"/>
        <c:ser>
          <c:idx val="0"/>
          <c:order val="0"/>
          <c:tx>
            <c:strRef>
              <c:f>"一般公共预算财政拨款支出"</c:f>
              <c:strCache>
                <c:ptCount val="1"/>
                <c:pt idx="0">
                  <c:v>一般公共预算财政拨款支出</c:v>
                </c:pt>
              </c:strCache>
            </c:strRef>
          </c:tx>
          <c:spPr>
            <a:solidFill>
              <a:schemeClr val="accent1"/>
            </a:solidFill>
            <a:ln>
              <a:noFill/>
            </a:ln>
            <a:effectLst/>
          </c:spPr>
          <c:invertIfNegative val="false"/>
          <c:dLbls>
            <c:dLbl>
              <c:idx val="1"/>
              <c:layout/>
              <c:tx>
                <c:rich>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b="1">
                        <a:latin typeface="Times New Roman" panose="02020603050405020304" charset="0"/>
                        <a:ea typeface="Times New Roman" panose="02020603050405020304" charset="0"/>
                        <a:cs typeface="Times New Roman" panose="02020603050405020304" charset="0"/>
                        <a:sym typeface="Times New Roman" panose="02020603050405020304" charset="0"/>
                      </a:rPr>
                      <a:t>4031.96</a:t>
                    </a:r>
                    <a:endParaRPr lang="en-US" altLang="zh-CN"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[工作簿1.xlsx]Sheet1!$A$22:$A$23</c:f>
              <c:strCache>
                <c:ptCount val="2"/>
                <c:pt idx="0">
                  <c:v>2021年</c:v>
                </c:pt>
                <c:pt idx="1">
                  <c:v>2022年</c:v>
                </c:pt>
              </c:strCache>
            </c:strRef>
          </c:cat>
          <c:val>
            <c:numRef>
              <c:f>[工作簿1.xlsx]Sheet1!$B$22:$B$23</c:f>
              <c:numCache>
                <c:formatCode>General</c:formatCode>
                <c:ptCount val="2"/>
                <c:pt idx="0">
                  <c:v>3485.74</c:v>
                </c:pt>
                <c:pt idx="1">
                  <c:v>4031.97</c:v>
                </c:pt>
              </c:numCache>
            </c:numRef>
          </c:val>
        </c:ser>
        <c:dLbls>
          <c:showLegendKey val="false"/>
          <c:showVal val="true"/>
          <c:showCatName val="false"/>
          <c:showSerName val="false"/>
          <c:showPercent val="false"/>
          <c:showBubbleSize val="false"/>
        </c:dLbls>
        <c:gapWidth val="219"/>
        <c:overlap val="-27"/>
        <c:axId val="38221551"/>
        <c:axId val="257563374"/>
      </c:barChart>
      <c:catAx>
        <c:axId val="38221551"/>
        <c:scaling>
          <c:orientation val="minMax"/>
        </c:scaling>
        <c:delete val="false"/>
        <c:axPos val="b"/>
        <c:title>
          <c:tx>
            <c:rich>
              <a:bodyPr rot="0" spcFirstLastPara="0" vertOverflow="ellipsis" vert="horz" wrap="square" anchor="ctr" anchorCtr="true"/>
              <a:lstStyle/>
              <a:p>
                <a:pPr defTabSz="914400">
                  <a:defRPr lang="zh-CN" sz="10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单位：万元</a:t>
                </a:r>
                <a:endParaRPr lang="zh-CN" altLang="en-US"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manualLayout>
              <c:xMode val="edge"/>
              <c:yMode val="edge"/>
              <c:x val="0.775972205290747"/>
              <c:y val="0.1241213094999"/>
            </c:manualLayout>
          </c:layout>
          <c:overlay val="false"/>
          <c:spPr>
            <a:noFill/>
            <a:ln>
              <a:noFill/>
            </a:ln>
            <a:effectLst/>
          </c:spPr>
        </c:title>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57563374"/>
        <c:crosses val="autoZero"/>
        <c:auto val="true"/>
        <c:lblAlgn val="ctr"/>
        <c:lblOffset val="100"/>
        <c:noMultiLvlLbl val="false"/>
      </c:catAx>
      <c:valAx>
        <c:axId val="2575633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221551"/>
        <c:crosses val="autoZero"/>
        <c:crossBetween val="between"/>
      </c:valAx>
      <c:spPr>
        <a:noFill/>
        <a:ln>
          <a:noFill/>
        </a:ln>
        <a:effectLst/>
      </c:spPr>
    </c:plotArea>
    <c:legend>
      <c:legendPos val="r"/>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7625"/>
          <c:y val="0.40625"/>
          <c:w val="0.207638888888889"/>
          <c:h val="0.178472222222222"/>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一般公共预算财政拨款支出决算结构</a:t>
            </a:r>
            <a:endPar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manualLayout>
          <c:xMode val="edge"/>
          <c:yMode val="edge"/>
          <c:x val="0.170555555555556"/>
          <c:y val="0.0214067278287462"/>
        </c:manualLayout>
      </c:layout>
      <c:overlay val="false"/>
      <c:spPr>
        <a:noFill/>
        <a:ln>
          <a:noFill/>
        </a:ln>
        <a:effectLst/>
      </c:spPr>
    </c:title>
    <c:autoTitleDeleted val="false"/>
    <c:plotArea>
      <c:layout>
        <c:manualLayout>
          <c:layoutTarget val="inner"/>
          <c:xMode val="edge"/>
          <c:yMode val="edge"/>
          <c:x val="0.12256880733945"/>
          <c:y val="0.225448028673835"/>
          <c:w val="0.484525993883792"/>
          <c:h val="0.709856630824373"/>
        </c:manualLayout>
      </c:layout>
      <c:pieChart>
        <c:varyColors val="true"/>
        <c:ser>
          <c:idx val="0"/>
          <c:order val="0"/>
          <c:spPr/>
          <c:explosion val="8"/>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manualLayout>
                  <c:x val="0.0373628806629887"/>
                  <c:y val="-0.0524774040770375"/>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226069881758458"/>
                  <c:y val="-0.0061333726076796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238265116708861"/>
                  <c:y val="-0.105768340321896"/>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0862963251811391"/>
                  <c:y val="-0.02609652923664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[工作簿1.xlsx]Sheet1!$A$42:$A$45</c:f>
              <c:strCache>
                <c:ptCount val="4"/>
                <c:pt idx="0">
                  <c:v>一般公共服务支出</c:v>
                </c:pt>
                <c:pt idx="1">
                  <c:v>科学技术支出</c:v>
                </c:pt>
                <c:pt idx="2">
                  <c:v>社会保障和就业支出</c:v>
                </c:pt>
                <c:pt idx="3">
                  <c:v>住房保障支出</c:v>
                </c:pt>
              </c:strCache>
            </c:strRef>
          </c:cat>
          <c:val>
            <c:numRef>
              <c:f>[工作簿1.xlsx]Sheet1!$B$42:$B$45</c:f>
              <c:numCache>
                <c:formatCode>General</c:formatCode>
                <c:ptCount val="4"/>
                <c:pt idx="0">
                  <c:v>3062.07</c:v>
                </c:pt>
                <c:pt idx="1">
                  <c:v>22.71</c:v>
                </c:pt>
                <c:pt idx="2">
                  <c:v>711.59</c:v>
                </c:pt>
                <c:pt idx="3">
                  <c:v>235.59</c:v>
                </c:pt>
              </c:numCache>
            </c:numRef>
          </c:val>
        </c:ser>
        <c:dLbls>
          <c:showLegendKey val="tru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3"/>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ayout>
        <c:manualLayout>
          <c:xMode val="edge"/>
          <c:yMode val="edge"/>
          <c:x val="0.721750727449079"/>
          <c:y val="0.342748397435897"/>
          <c:w val="0.263579049466537"/>
          <c:h val="0.379206730769231"/>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fals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defRPr>
            </a:pPr>
            <a:r>
              <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rPr>
              <a:t>“三公”经费财政拨款支出结构</a:t>
            </a:r>
            <a:endParaRPr lang="zh-CN" altLang="en-US" b="0">
              <a:latin typeface="方正小标宋_GBK" panose="02000000000000000000" pitchFamily="4" charset="-122"/>
              <a:ea typeface="方正小标宋_GBK" panose="02000000000000000000" pitchFamily="4" charset="-122"/>
              <a:cs typeface="方正小标宋_GBK" panose="02000000000000000000" pitchFamily="4" charset="-122"/>
              <a:sym typeface="方正小标宋_GBK" panose="02000000000000000000" pitchFamily="4" charset="-122"/>
            </a:endParaRPr>
          </a:p>
        </c:rich>
      </c:tx>
      <c:layout>
        <c:manualLayout>
          <c:xMode val="edge"/>
          <c:yMode val="edge"/>
          <c:x val="0.278333333333333"/>
          <c:y val="0.0243055555555556"/>
        </c:manualLayout>
      </c:layout>
      <c:overlay val="false"/>
      <c:spPr>
        <a:noFill/>
        <a:ln>
          <a:noFill/>
        </a:ln>
        <a:effectLst/>
      </c:spPr>
    </c:title>
    <c:autoTitleDeleted val="false"/>
    <c:plotArea>
      <c:layout>
        <c:manualLayout>
          <c:layoutTarget val="inner"/>
          <c:xMode val="edge"/>
          <c:yMode val="edge"/>
          <c:x val="0.0941709920177325"/>
          <c:y val="0.289241622574956"/>
          <c:w val="0.443631996449899"/>
          <c:h val="0.62546634561208"/>
        </c:manualLayout>
      </c:layout>
      <c:pieChart>
        <c:varyColors val="true"/>
        <c:ser>
          <c:idx val="0"/>
          <c:order val="0"/>
          <c:spPr/>
          <c:explosion val="0"/>
          <c:dPt>
            <c:idx val="0"/>
            <c:bubble3D val="false"/>
            <c:spPr>
              <a:solidFill>
                <a:srgbClr val="FFC000"/>
              </a:solidFill>
              <a:ln w="19050">
                <a:solidFill>
                  <a:schemeClr val="lt1"/>
                </a:solidFill>
              </a:ln>
              <a:effectLst/>
            </c:spPr>
          </c:dPt>
          <c:dPt>
            <c:idx val="1"/>
            <c:bubble3D val="false"/>
            <c:spPr>
              <a:solidFill>
                <a:schemeClr val="accent1"/>
              </a:solidFill>
              <a:ln w="19050">
                <a:solidFill>
                  <a:schemeClr val="lt1"/>
                </a:solidFill>
              </a:ln>
              <a:effectLst/>
            </c:spPr>
          </c:dPt>
          <c:dPt>
            <c:idx val="2"/>
            <c:bubble3D val="false"/>
            <c:spPr>
              <a:solidFill>
                <a:srgbClr val="92D050"/>
              </a:solidFill>
              <a:ln w="19050">
                <a:solidFill>
                  <a:schemeClr val="lt1"/>
                </a:solidFill>
              </a:ln>
              <a:effectLst/>
            </c:spPr>
          </c:dPt>
          <c:dLbls>
            <c:dLbl>
              <c:idx val="0"/>
              <c:layout>
                <c:manualLayout>
                  <c:x val="0.0791664490633889"/>
                  <c:y val="-0.00639389598490394"/>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77254461332453"/>
                  <c:y val="0.0165358748621674"/>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[工作簿1.xlsx]Sheet1!$A$64:$A$66</c:f>
              <c:strCache>
                <c:ptCount val="3"/>
                <c:pt idx="0">
                  <c:v>因公出国（境）费支出</c:v>
                </c:pt>
                <c:pt idx="1">
                  <c:v>公务用车购置及运行维护费支出</c:v>
                </c:pt>
                <c:pt idx="2">
                  <c:v>公务接待费支出</c:v>
                </c:pt>
              </c:strCache>
            </c:strRef>
          </c:cat>
          <c:val>
            <c:numRef>
              <c:f>[工作簿1.xlsx]Sheet1!$B$64:$B$66</c:f>
              <c:numCache>
                <c:formatCode>General</c:formatCode>
                <c:ptCount val="3"/>
                <c:pt idx="0">
                  <c:v>0</c:v>
                </c:pt>
                <c:pt idx="1">
                  <c:v>48.9</c:v>
                </c:pt>
                <c:pt idx="2">
                  <c:v>1</c:v>
                </c:pt>
              </c:numCache>
            </c:numRef>
          </c:val>
        </c:ser>
        <c:dLbls>
          <c:showLegendKey val="tru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644039135161251"/>
          <c:y val="0.387992125984252"/>
          <c:w val="0.341466360671579"/>
          <c:h val="0.301377952755906"/>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5400000" vert="horz"/>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1420</Words>
  <Characters>8099</Characters>
  <Lines>67</Lines>
  <Paragraphs>18</Paragraphs>
  <TotalTime>58</TotalTime>
  <ScaleCrop>false</ScaleCrop>
  <LinksUpToDate>false</LinksUpToDate>
  <CharactersWithSpaces>9501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2020-08-13T01:49:00Z</dcterms:created>
  <dc:creator>曹颖</dc:creator>
  <cp:lastModifiedBy>初见</cp:lastModifiedBy>
  <cp:lastPrinted>2023-08-08T02:35:00Z</cp:lastPrinted>
  <dcterms:modified xsi:type="dcterms:W3CDTF">2023-09-14T17:51:58Z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F448DFD3C8CC4512A915097FAAE6D9A6_12</vt:lpwstr>
  </property>
</Properties>
</file>